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0214" w14:textId="1D066862" w:rsidR="009A186E" w:rsidRPr="0081777F" w:rsidRDefault="52C293FC" w:rsidP="0081777F">
      <w:pPr>
        <w:jc w:val="center"/>
      </w:pPr>
      <w:r>
        <w:rPr>
          <w:noProof/>
        </w:rPr>
        <w:drawing>
          <wp:inline distT="0" distB="0" distL="0" distR="0" wp14:anchorId="77FDED9C" wp14:editId="702BDDC7">
            <wp:extent cx="2955290" cy="1479550"/>
            <wp:effectExtent l="0" t="0" r="0" b="6350"/>
            <wp:docPr id="87809650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55290" cy="1479550"/>
                    </a:xfrm>
                    <a:prstGeom prst="rect">
                      <a:avLst/>
                    </a:prstGeom>
                  </pic:spPr>
                </pic:pic>
              </a:graphicData>
            </a:graphic>
          </wp:inline>
        </w:drawing>
      </w:r>
    </w:p>
    <w:p w14:paraId="3DB3AA42" w14:textId="77777777" w:rsidR="009A186E" w:rsidRPr="007830C8" w:rsidRDefault="009A186E" w:rsidP="00995397">
      <w:pPr>
        <w:rPr>
          <w:rFonts w:ascii="Arial" w:hAnsi="Arial" w:cs="Arial"/>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9A186E" w:rsidRPr="007830C8" w14:paraId="3E90CC4A" w14:textId="77777777" w:rsidTr="0071064E">
        <w:tc>
          <w:tcPr>
            <w:tcW w:w="9314" w:type="dxa"/>
            <w:tcBorders>
              <w:top w:val="single" w:sz="4" w:space="0" w:color="auto"/>
            </w:tcBorders>
          </w:tcPr>
          <w:p w14:paraId="30977C85" w14:textId="77777777" w:rsidR="009A186E" w:rsidRPr="007830C8" w:rsidRDefault="009A186E" w:rsidP="00995397">
            <w:pPr>
              <w:rPr>
                <w:rFonts w:ascii="Arial" w:hAnsi="Arial" w:cs="Arial"/>
                <w:sz w:val="24"/>
              </w:rPr>
            </w:pPr>
            <w:bookmarkStart w:id="0" w:name="_Hlk117000108"/>
          </w:p>
        </w:tc>
      </w:tr>
      <w:tr w:rsidR="009A186E" w:rsidRPr="007830C8" w14:paraId="392339C3" w14:textId="77777777" w:rsidTr="0071064E">
        <w:tc>
          <w:tcPr>
            <w:tcW w:w="9314" w:type="dxa"/>
          </w:tcPr>
          <w:p w14:paraId="53FA01C8" w14:textId="19FE0FF5" w:rsidR="009A186E" w:rsidRPr="007830C8" w:rsidRDefault="00BB352B" w:rsidP="00995397">
            <w:pPr>
              <w:jc w:val="center"/>
              <w:rPr>
                <w:rFonts w:ascii="Arial" w:hAnsi="Arial" w:cs="Arial"/>
                <w:b/>
                <w:sz w:val="24"/>
                <w:szCs w:val="24"/>
              </w:rPr>
            </w:pPr>
            <w:r>
              <w:rPr>
                <w:rFonts w:ascii="Arial" w:hAnsi="Arial" w:cs="Arial"/>
                <w:b/>
                <w:sz w:val="24"/>
                <w:szCs w:val="24"/>
              </w:rPr>
              <w:t>Ten</w:t>
            </w:r>
            <w:r w:rsidR="00676806">
              <w:rPr>
                <w:rFonts w:ascii="Arial" w:hAnsi="Arial" w:cs="Arial"/>
                <w:b/>
                <w:sz w:val="24"/>
                <w:szCs w:val="24"/>
              </w:rPr>
              <w:t xml:space="preserve">ure </w:t>
            </w:r>
            <w:r>
              <w:rPr>
                <w:rFonts w:ascii="Arial" w:hAnsi="Arial" w:cs="Arial"/>
                <w:b/>
                <w:sz w:val="24"/>
                <w:szCs w:val="24"/>
              </w:rPr>
              <w:t>Policy</w:t>
            </w:r>
          </w:p>
        </w:tc>
      </w:tr>
      <w:bookmarkEnd w:id="0"/>
      <w:tr w:rsidR="009A186E" w:rsidRPr="007830C8" w14:paraId="1AF5459D" w14:textId="77777777" w:rsidTr="0071064E">
        <w:tc>
          <w:tcPr>
            <w:tcW w:w="9314" w:type="dxa"/>
            <w:tcBorders>
              <w:bottom w:val="single" w:sz="4" w:space="0" w:color="auto"/>
            </w:tcBorders>
          </w:tcPr>
          <w:p w14:paraId="176BBB18" w14:textId="77777777" w:rsidR="009A186E" w:rsidRPr="007830C8" w:rsidRDefault="009A186E" w:rsidP="00995397">
            <w:pPr>
              <w:rPr>
                <w:rFonts w:ascii="Arial" w:hAnsi="Arial" w:cs="Arial"/>
                <w:sz w:val="24"/>
              </w:rPr>
            </w:pPr>
          </w:p>
        </w:tc>
      </w:tr>
    </w:tbl>
    <w:p w14:paraId="4E7C4CDC" w14:textId="77777777" w:rsidR="009A186E" w:rsidRPr="007830C8" w:rsidRDefault="009A186E" w:rsidP="00995397">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9A186E" w:rsidRPr="007830C8" w14:paraId="15EFB0D0" w14:textId="77777777" w:rsidTr="0071064E">
        <w:tc>
          <w:tcPr>
            <w:tcW w:w="9295" w:type="dxa"/>
          </w:tcPr>
          <w:p w14:paraId="7B2AD8DE" w14:textId="77777777" w:rsidR="008F612A" w:rsidRPr="007830C8" w:rsidRDefault="008F612A" w:rsidP="00995397">
            <w:pPr>
              <w:rPr>
                <w:rFonts w:ascii="Arial" w:hAnsi="Arial" w:cs="Arial"/>
                <w:b/>
                <w:iCs/>
                <w:sz w:val="24"/>
              </w:rPr>
            </w:pPr>
          </w:p>
          <w:p w14:paraId="575AE713" w14:textId="77777777" w:rsidR="008F612A" w:rsidRPr="007830C8" w:rsidRDefault="008F612A" w:rsidP="00995397">
            <w:pPr>
              <w:rPr>
                <w:rFonts w:ascii="Arial" w:hAnsi="Arial" w:cs="Arial"/>
                <w:b/>
                <w:iCs/>
                <w:sz w:val="24"/>
              </w:rPr>
            </w:pPr>
          </w:p>
          <w:p w14:paraId="5FDBFFC2" w14:textId="507B0661" w:rsidR="008F612A" w:rsidRPr="007830C8" w:rsidRDefault="008F612A" w:rsidP="00995397">
            <w:pPr>
              <w:spacing w:after="240" w:line="276" w:lineRule="auto"/>
              <w:jc w:val="both"/>
              <w:rPr>
                <w:rFonts w:ascii="Arial" w:hAnsi="Arial" w:cs="Arial"/>
                <w:color w:val="002060"/>
              </w:rPr>
            </w:pPr>
          </w:p>
        </w:tc>
      </w:tr>
    </w:tbl>
    <w:p w14:paraId="5DA4B217" w14:textId="12510974" w:rsidR="00A25BD2" w:rsidRDefault="00A25BD2" w:rsidP="00995397">
      <w:pPr>
        <w:rPr>
          <w:rFonts w:ascii="Arial" w:hAnsi="Arial" w:cs="Arial"/>
        </w:rPr>
      </w:pPr>
    </w:p>
    <w:p w14:paraId="47CD6147" w14:textId="77777777" w:rsidR="00AA6D0F" w:rsidRDefault="00AA6D0F" w:rsidP="00995397">
      <w:pPr>
        <w:rPr>
          <w:rFonts w:ascii="Arial" w:hAnsi="Arial" w:cs="Arial"/>
        </w:rPr>
      </w:pPr>
    </w:p>
    <w:p w14:paraId="52278759" w14:textId="77777777" w:rsidR="00AA6D0F" w:rsidRDefault="00AA6D0F" w:rsidP="00995397">
      <w:pPr>
        <w:rPr>
          <w:rFonts w:ascii="Arial" w:hAnsi="Arial" w:cs="Arial"/>
        </w:rPr>
      </w:pPr>
    </w:p>
    <w:p w14:paraId="3E17A7EB" w14:textId="77777777" w:rsidR="00AA6D0F" w:rsidRDefault="00AA6D0F" w:rsidP="00995397">
      <w:pPr>
        <w:rPr>
          <w:rFonts w:ascii="Arial" w:hAnsi="Arial" w:cs="Arial"/>
        </w:rPr>
      </w:pPr>
    </w:p>
    <w:p w14:paraId="6BFFCB88" w14:textId="77777777" w:rsidR="00AA6D0F" w:rsidRDefault="00AA6D0F" w:rsidP="00995397">
      <w:pPr>
        <w:rPr>
          <w:rFonts w:ascii="Arial" w:hAnsi="Arial" w:cs="Arial"/>
        </w:rPr>
      </w:pPr>
    </w:p>
    <w:p w14:paraId="014C35DC" w14:textId="77777777" w:rsidR="00AA6D0F" w:rsidRDefault="00AA6D0F" w:rsidP="00995397">
      <w:pPr>
        <w:rPr>
          <w:rFonts w:ascii="Arial" w:hAnsi="Arial" w:cs="Arial"/>
        </w:rPr>
      </w:pPr>
    </w:p>
    <w:p w14:paraId="12C450FC" w14:textId="77777777" w:rsidR="00AA6D0F" w:rsidRDefault="00AA6D0F" w:rsidP="00995397">
      <w:pPr>
        <w:rPr>
          <w:rFonts w:ascii="Arial" w:hAnsi="Arial" w:cs="Arial"/>
        </w:rPr>
      </w:pPr>
    </w:p>
    <w:p w14:paraId="55C9BCA5" w14:textId="77777777" w:rsidR="00AA6D0F" w:rsidRDefault="00AA6D0F" w:rsidP="00995397">
      <w:pPr>
        <w:rPr>
          <w:rFonts w:ascii="Arial" w:hAnsi="Arial" w:cs="Arial"/>
        </w:rPr>
      </w:pPr>
    </w:p>
    <w:p w14:paraId="19DC9874" w14:textId="77777777" w:rsidR="00AA6D0F" w:rsidRDefault="00AA6D0F" w:rsidP="00995397">
      <w:pPr>
        <w:rPr>
          <w:rFonts w:ascii="Arial" w:hAnsi="Arial" w:cs="Arial"/>
        </w:rPr>
      </w:pPr>
    </w:p>
    <w:p w14:paraId="7FE8E911" w14:textId="77777777" w:rsidR="00AA6D0F" w:rsidRDefault="00AA6D0F" w:rsidP="00995397">
      <w:pPr>
        <w:rPr>
          <w:rFonts w:ascii="Arial" w:hAnsi="Arial" w:cs="Arial"/>
        </w:rPr>
      </w:pPr>
    </w:p>
    <w:p w14:paraId="56219351" w14:textId="77777777" w:rsidR="00AA6D0F" w:rsidRDefault="00AA6D0F" w:rsidP="00995397">
      <w:pPr>
        <w:rPr>
          <w:rFonts w:ascii="Arial" w:hAnsi="Arial" w:cs="Arial"/>
        </w:rPr>
      </w:pPr>
    </w:p>
    <w:p w14:paraId="570A53AA" w14:textId="77777777" w:rsidR="00410031" w:rsidRDefault="00410031" w:rsidP="00F732DD">
      <w:pPr>
        <w:spacing w:before="160"/>
        <w:rPr>
          <w:rFonts w:ascii="Arial" w:hAnsi="Arial" w:cs="Arial"/>
          <w:b/>
          <w:bCs/>
          <w:sz w:val="20"/>
          <w:szCs w:val="20"/>
        </w:rPr>
      </w:pPr>
    </w:p>
    <w:p w14:paraId="0B5F02C5" w14:textId="77777777" w:rsidR="00410031" w:rsidRDefault="00410031" w:rsidP="00F732DD">
      <w:pPr>
        <w:spacing w:before="160"/>
        <w:rPr>
          <w:rFonts w:ascii="Arial" w:hAnsi="Arial" w:cs="Arial"/>
          <w:b/>
          <w:bCs/>
          <w:sz w:val="20"/>
          <w:szCs w:val="20"/>
        </w:rPr>
      </w:pPr>
    </w:p>
    <w:p w14:paraId="4D864353" w14:textId="77777777" w:rsidR="00410031" w:rsidRDefault="00410031" w:rsidP="00F732DD">
      <w:pPr>
        <w:spacing w:before="160"/>
        <w:rPr>
          <w:rFonts w:ascii="Arial" w:hAnsi="Arial" w:cs="Arial"/>
          <w:b/>
          <w:bCs/>
          <w:sz w:val="20"/>
          <w:szCs w:val="20"/>
        </w:rPr>
      </w:pPr>
    </w:p>
    <w:p w14:paraId="2E454B84" w14:textId="77777777" w:rsidR="00410031" w:rsidRDefault="00410031" w:rsidP="00F732DD">
      <w:pPr>
        <w:spacing w:before="160"/>
        <w:rPr>
          <w:rFonts w:ascii="Arial" w:hAnsi="Arial" w:cs="Arial"/>
          <w:b/>
          <w:bCs/>
          <w:sz w:val="20"/>
          <w:szCs w:val="20"/>
        </w:rPr>
      </w:pPr>
    </w:p>
    <w:p w14:paraId="3F56A18F" w14:textId="77777777" w:rsidR="00410031" w:rsidRDefault="00410031" w:rsidP="00F732DD">
      <w:pPr>
        <w:spacing w:before="160"/>
        <w:rPr>
          <w:rFonts w:ascii="Arial" w:hAnsi="Arial" w:cs="Arial"/>
          <w:b/>
          <w:bCs/>
          <w:sz w:val="20"/>
          <w:szCs w:val="20"/>
        </w:rPr>
      </w:pPr>
    </w:p>
    <w:p w14:paraId="58BD3113" w14:textId="77777777" w:rsidR="00410031" w:rsidRDefault="00410031" w:rsidP="00F732DD">
      <w:pPr>
        <w:spacing w:before="160"/>
        <w:rPr>
          <w:rFonts w:ascii="Arial" w:hAnsi="Arial" w:cs="Arial"/>
          <w:b/>
          <w:bCs/>
          <w:sz w:val="20"/>
          <w:szCs w:val="20"/>
        </w:rPr>
      </w:pPr>
    </w:p>
    <w:p w14:paraId="3048C7EF" w14:textId="77777777" w:rsidR="00410031" w:rsidRDefault="00410031" w:rsidP="00F732DD">
      <w:pPr>
        <w:spacing w:before="160"/>
        <w:rPr>
          <w:rFonts w:ascii="Arial" w:hAnsi="Arial" w:cs="Arial"/>
          <w:b/>
          <w:bCs/>
          <w:sz w:val="20"/>
          <w:szCs w:val="20"/>
        </w:rPr>
      </w:pPr>
    </w:p>
    <w:p w14:paraId="4FF76542" w14:textId="77777777" w:rsidR="00410031" w:rsidRDefault="00410031" w:rsidP="00F732DD">
      <w:pPr>
        <w:spacing w:before="160"/>
        <w:rPr>
          <w:rFonts w:ascii="Arial" w:hAnsi="Arial" w:cs="Arial"/>
          <w:b/>
          <w:bCs/>
          <w:sz w:val="20"/>
          <w:szCs w:val="20"/>
        </w:rPr>
      </w:pPr>
    </w:p>
    <w:p w14:paraId="7A858FDA" w14:textId="732AE746" w:rsidR="00A25BD2" w:rsidRPr="00F732DD" w:rsidRDefault="007830C8" w:rsidP="00F732DD">
      <w:pPr>
        <w:spacing w:before="160"/>
        <w:rPr>
          <w:rFonts w:ascii="Arial" w:hAnsi="Arial" w:cs="Arial"/>
        </w:rPr>
      </w:pPr>
      <w:r>
        <w:rPr>
          <w:rFonts w:ascii="Arial" w:hAnsi="Arial" w:cs="Arial"/>
          <w:b/>
          <w:bCs/>
          <w:sz w:val="20"/>
          <w:szCs w:val="20"/>
        </w:rPr>
        <w:lastRenderedPageBreak/>
        <w:t>C</w:t>
      </w:r>
      <w:r w:rsidR="00703E53">
        <w:rPr>
          <w:rFonts w:ascii="Arial" w:hAnsi="Arial" w:cs="Arial"/>
          <w:b/>
          <w:bCs/>
          <w:sz w:val="20"/>
          <w:szCs w:val="20"/>
        </w:rPr>
        <w:t>ONTENTS PAGE</w:t>
      </w:r>
    </w:p>
    <w:p w14:paraId="535A5277" w14:textId="3A2D01DD" w:rsidR="00F732DD" w:rsidRPr="00F732DD" w:rsidRDefault="00F732DD" w:rsidP="00F732DD">
      <w:pPr>
        <w:rPr>
          <w:rFonts w:ascii="Arial" w:hAnsi="Arial" w:cs="Arial"/>
          <w:sz w:val="20"/>
          <w:szCs w:val="20"/>
        </w:rPr>
      </w:pPr>
      <w:r w:rsidRPr="00F732DD">
        <w:rPr>
          <w:rFonts w:ascii="Arial" w:hAnsi="Arial" w:cs="Arial"/>
          <w:sz w:val="20"/>
          <w:szCs w:val="20"/>
        </w:rPr>
        <w:t xml:space="preserve">Introduction and </w:t>
      </w:r>
      <w:r>
        <w:rPr>
          <w:rFonts w:ascii="Arial" w:hAnsi="Arial" w:cs="Arial"/>
          <w:sz w:val="20"/>
          <w:szCs w:val="20"/>
        </w:rPr>
        <w:t>p</w:t>
      </w:r>
      <w:r w:rsidRPr="00F732DD">
        <w:rPr>
          <w:rFonts w:ascii="Arial" w:hAnsi="Arial" w:cs="Arial"/>
          <w:sz w:val="20"/>
          <w:szCs w:val="20"/>
        </w:rPr>
        <w:t>urpose</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1</w:t>
      </w:r>
    </w:p>
    <w:p w14:paraId="51EE35D9" w14:textId="45A06AB7" w:rsidR="00F732DD" w:rsidRPr="00F732DD" w:rsidRDefault="00F732DD" w:rsidP="00F732DD">
      <w:pPr>
        <w:rPr>
          <w:rFonts w:ascii="Arial" w:hAnsi="Arial" w:cs="Arial"/>
          <w:sz w:val="20"/>
          <w:szCs w:val="20"/>
        </w:rPr>
      </w:pPr>
      <w:r w:rsidRPr="00F732DD">
        <w:rPr>
          <w:rFonts w:ascii="Arial" w:hAnsi="Arial" w:cs="Arial"/>
          <w:sz w:val="20"/>
          <w:szCs w:val="20"/>
        </w:rPr>
        <w:t>Responsibilities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Pr>
          <w:rFonts w:ascii="Arial" w:hAnsi="Arial" w:cs="Arial"/>
          <w:sz w:val="20"/>
          <w:szCs w:val="20"/>
        </w:rPr>
        <w:tab/>
      </w:r>
      <w:r w:rsidRPr="00F732DD">
        <w:rPr>
          <w:rFonts w:ascii="Arial" w:hAnsi="Arial" w:cs="Arial"/>
          <w:sz w:val="20"/>
          <w:szCs w:val="20"/>
        </w:rPr>
        <w:t>2</w:t>
      </w:r>
    </w:p>
    <w:p w14:paraId="73DDCE39" w14:textId="739BFED0" w:rsidR="00F732DD" w:rsidRPr="00F732DD" w:rsidRDefault="00F732DD" w:rsidP="00F732DD">
      <w:pPr>
        <w:rPr>
          <w:rFonts w:ascii="Arial" w:hAnsi="Arial" w:cs="Arial"/>
          <w:sz w:val="20"/>
          <w:szCs w:val="20"/>
        </w:rPr>
      </w:pPr>
      <w:r w:rsidRPr="00F732DD">
        <w:rPr>
          <w:rFonts w:ascii="Arial" w:hAnsi="Arial" w:cs="Arial"/>
          <w:sz w:val="20"/>
          <w:szCs w:val="20"/>
        </w:rPr>
        <w:t xml:space="preserve">Affordability </w:t>
      </w:r>
      <w:r>
        <w:rPr>
          <w:rFonts w:ascii="Arial" w:hAnsi="Arial" w:cs="Arial"/>
          <w:sz w:val="20"/>
          <w:szCs w:val="20"/>
        </w:rPr>
        <w:t>a</w:t>
      </w:r>
      <w:r w:rsidRPr="00F732DD">
        <w:rPr>
          <w:rFonts w:ascii="Arial" w:hAnsi="Arial" w:cs="Arial"/>
          <w:sz w:val="20"/>
          <w:szCs w:val="20"/>
        </w:rPr>
        <w:t>ssessment</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3</w:t>
      </w:r>
    </w:p>
    <w:p w14:paraId="2756A3C7" w14:textId="362AD894" w:rsidR="00F732DD" w:rsidRPr="00F732DD" w:rsidRDefault="00F732DD" w:rsidP="00F732DD">
      <w:pPr>
        <w:rPr>
          <w:rFonts w:ascii="Arial" w:hAnsi="Arial" w:cs="Arial"/>
          <w:sz w:val="20"/>
          <w:szCs w:val="20"/>
        </w:rPr>
      </w:pPr>
      <w:r w:rsidRPr="00F732DD">
        <w:rPr>
          <w:rFonts w:ascii="Arial" w:hAnsi="Arial" w:cs="Arial"/>
          <w:sz w:val="20"/>
          <w:szCs w:val="20"/>
        </w:rPr>
        <w:t xml:space="preserve">Sustaining tenancies, supporting vulnerable residents and preventing unnecessary </w:t>
      </w:r>
      <w:r w:rsidRPr="00F732DD">
        <w:rPr>
          <w:rFonts w:ascii="Arial" w:hAnsi="Arial" w:cs="Arial"/>
          <w:sz w:val="20"/>
          <w:szCs w:val="20"/>
        </w:rPr>
        <w:tab/>
      </w:r>
      <w:r>
        <w:rPr>
          <w:rFonts w:ascii="Arial" w:hAnsi="Arial" w:cs="Arial"/>
          <w:sz w:val="20"/>
          <w:szCs w:val="20"/>
        </w:rPr>
        <w:tab/>
      </w:r>
      <w:r w:rsidRPr="00F732DD">
        <w:rPr>
          <w:rFonts w:ascii="Arial" w:hAnsi="Arial" w:cs="Arial"/>
          <w:sz w:val="20"/>
          <w:szCs w:val="20"/>
        </w:rPr>
        <w:t>4</w:t>
      </w:r>
      <w:r w:rsidRPr="00F732DD">
        <w:rPr>
          <w:rFonts w:ascii="Arial" w:hAnsi="Arial" w:cs="Arial"/>
          <w:sz w:val="20"/>
          <w:szCs w:val="20"/>
        </w:rPr>
        <w:br/>
      </w:r>
      <w:r w:rsidRPr="00F732DD">
        <w:rPr>
          <w:rFonts w:ascii="Arial" w:hAnsi="Arial" w:cs="Arial"/>
          <w:sz w:val="20"/>
          <w:szCs w:val="20"/>
        </w:rPr>
        <w:t>eviction</w:t>
      </w:r>
      <w:r w:rsidRPr="00F732DD">
        <w:rPr>
          <w:rFonts w:ascii="Arial" w:hAnsi="Arial" w:cs="Arial"/>
          <w:sz w:val="20"/>
          <w:szCs w:val="20"/>
        </w:rPr>
        <w:tab/>
      </w:r>
      <w:r w:rsidRPr="00F732DD">
        <w:rPr>
          <w:rFonts w:ascii="Arial" w:hAnsi="Arial" w:cs="Arial"/>
          <w:sz w:val="20"/>
          <w:szCs w:val="20"/>
        </w:rPr>
        <w:tab/>
      </w:r>
      <w:r>
        <w:rPr>
          <w:rFonts w:ascii="Arial" w:hAnsi="Arial" w:cs="Arial"/>
          <w:sz w:val="20"/>
          <w:szCs w:val="20"/>
        </w:rPr>
        <w:br/>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br/>
      </w:r>
      <w:r w:rsidRPr="00F732DD">
        <w:rPr>
          <w:rFonts w:ascii="Arial" w:hAnsi="Arial" w:cs="Arial"/>
          <w:sz w:val="20"/>
          <w:szCs w:val="20"/>
        </w:rPr>
        <w:t>Types of agreement</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5</w:t>
      </w:r>
    </w:p>
    <w:p w14:paraId="4027BE32" w14:textId="7745643A" w:rsidR="00F732DD" w:rsidRPr="00F732DD" w:rsidRDefault="00F732DD" w:rsidP="00F732DD">
      <w:pPr>
        <w:rPr>
          <w:rFonts w:ascii="Arial" w:hAnsi="Arial" w:cs="Arial"/>
          <w:sz w:val="20"/>
          <w:szCs w:val="20"/>
        </w:rPr>
      </w:pPr>
      <w:r w:rsidRPr="00F732DD">
        <w:rPr>
          <w:rFonts w:ascii="Arial" w:hAnsi="Arial" w:cs="Arial"/>
          <w:sz w:val="20"/>
          <w:szCs w:val="20"/>
        </w:rPr>
        <w:t xml:space="preserve">Starter </w:t>
      </w:r>
      <w:r>
        <w:rPr>
          <w:rFonts w:ascii="Arial" w:hAnsi="Arial" w:cs="Arial"/>
          <w:sz w:val="20"/>
          <w:szCs w:val="20"/>
        </w:rPr>
        <w:t>t</w:t>
      </w:r>
      <w:r w:rsidRPr="00F732DD">
        <w:rPr>
          <w:rFonts w:ascii="Arial" w:hAnsi="Arial" w:cs="Arial"/>
          <w:sz w:val="20"/>
          <w:szCs w:val="20"/>
        </w:rPr>
        <w:t>enancies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6</w:t>
      </w:r>
    </w:p>
    <w:p w14:paraId="6DD30B5A" w14:textId="2428864E" w:rsidR="00F732DD" w:rsidRPr="00F732DD" w:rsidRDefault="00F732DD" w:rsidP="00F732DD">
      <w:pPr>
        <w:rPr>
          <w:rFonts w:ascii="Arial" w:hAnsi="Arial" w:cs="Arial"/>
          <w:sz w:val="20"/>
          <w:szCs w:val="20"/>
        </w:rPr>
      </w:pPr>
      <w:r w:rsidRPr="00F732DD">
        <w:rPr>
          <w:rFonts w:ascii="Arial" w:hAnsi="Arial" w:cs="Arial"/>
          <w:sz w:val="20"/>
          <w:szCs w:val="20"/>
        </w:rPr>
        <w:t>Fixed-</w:t>
      </w:r>
      <w:r>
        <w:rPr>
          <w:rFonts w:ascii="Arial" w:hAnsi="Arial" w:cs="Arial"/>
          <w:sz w:val="20"/>
          <w:szCs w:val="20"/>
        </w:rPr>
        <w:t>t</w:t>
      </w:r>
      <w:r w:rsidRPr="00F732DD">
        <w:rPr>
          <w:rFonts w:ascii="Arial" w:hAnsi="Arial" w:cs="Arial"/>
          <w:sz w:val="20"/>
          <w:szCs w:val="20"/>
        </w:rPr>
        <w:t xml:space="preserve">erm </w:t>
      </w:r>
      <w:r>
        <w:rPr>
          <w:rFonts w:ascii="Arial" w:hAnsi="Arial" w:cs="Arial"/>
          <w:sz w:val="20"/>
          <w:szCs w:val="20"/>
        </w:rPr>
        <w:t>t</w:t>
      </w:r>
      <w:r w:rsidRPr="00F732DD">
        <w:rPr>
          <w:rFonts w:ascii="Arial" w:hAnsi="Arial" w:cs="Arial"/>
          <w:sz w:val="20"/>
          <w:szCs w:val="20"/>
        </w:rPr>
        <w:t>enancies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7</w:t>
      </w:r>
    </w:p>
    <w:p w14:paraId="215694E3" w14:textId="5BB27C23" w:rsidR="00F732DD" w:rsidRPr="00F732DD" w:rsidRDefault="00F732DD" w:rsidP="00F732DD">
      <w:pPr>
        <w:rPr>
          <w:rFonts w:ascii="Arial" w:hAnsi="Arial" w:cs="Arial"/>
          <w:sz w:val="20"/>
          <w:szCs w:val="20"/>
        </w:rPr>
      </w:pPr>
      <w:r w:rsidRPr="00F732DD">
        <w:rPr>
          <w:rFonts w:ascii="Arial" w:hAnsi="Arial" w:cs="Arial"/>
          <w:sz w:val="20"/>
          <w:szCs w:val="20"/>
        </w:rPr>
        <w:t xml:space="preserve">Secure </w:t>
      </w:r>
      <w:r>
        <w:rPr>
          <w:rFonts w:ascii="Arial" w:hAnsi="Arial" w:cs="Arial"/>
          <w:sz w:val="20"/>
          <w:szCs w:val="20"/>
        </w:rPr>
        <w:t>t</w:t>
      </w:r>
      <w:r w:rsidRPr="00F732DD">
        <w:rPr>
          <w:rFonts w:ascii="Arial" w:hAnsi="Arial" w:cs="Arial"/>
          <w:sz w:val="20"/>
          <w:szCs w:val="20"/>
        </w:rPr>
        <w:t>enancies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t>8</w:t>
      </w:r>
    </w:p>
    <w:p w14:paraId="7129A058" w14:textId="24C38766" w:rsidR="00F732DD" w:rsidRPr="00F732DD" w:rsidRDefault="00F732DD" w:rsidP="00F732DD">
      <w:pPr>
        <w:rPr>
          <w:rFonts w:ascii="Arial" w:hAnsi="Arial" w:cs="Arial"/>
          <w:sz w:val="20"/>
          <w:szCs w:val="20"/>
        </w:rPr>
      </w:pPr>
      <w:r w:rsidRPr="00F732DD">
        <w:rPr>
          <w:rFonts w:ascii="Arial" w:hAnsi="Arial" w:cs="Arial"/>
          <w:sz w:val="20"/>
          <w:szCs w:val="20"/>
        </w:rPr>
        <w:t>Temporary accommodation, supported and specialist housing</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Pr>
          <w:rFonts w:ascii="Arial" w:hAnsi="Arial" w:cs="Arial"/>
          <w:sz w:val="20"/>
          <w:szCs w:val="20"/>
        </w:rPr>
        <w:tab/>
      </w:r>
      <w:r w:rsidRPr="00F732DD">
        <w:rPr>
          <w:rFonts w:ascii="Arial" w:hAnsi="Arial" w:cs="Arial"/>
          <w:sz w:val="20"/>
          <w:szCs w:val="20"/>
        </w:rPr>
        <w:t>9</w:t>
      </w:r>
    </w:p>
    <w:p w14:paraId="4C854E25" w14:textId="57F4C69B" w:rsidR="00F732DD" w:rsidRPr="00F732DD" w:rsidRDefault="00F732DD" w:rsidP="00F732DD">
      <w:pPr>
        <w:rPr>
          <w:rFonts w:ascii="Arial" w:hAnsi="Arial" w:cs="Arial"/>
          <w:sz w:val="20"/>
          <w:szCs w:val="20"/>
        </w:rPr>
      </w:pPr>
      <w:r w:rsidRPr="00F732DD">
        <w:rPr>
          <w:rFonts w:ascii="Arial" w:hAnsi="Arial" w:cs="Arial"/>
          <w:sz w:val="20"/>
          <w:szCs w:val="20"/>
        </w:rPr>
        <w:t>Properties used for temporary decanting residents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10</w:t>
      </w:r>
    </w:p>
    <w:p w14:paraId="5F7A0E81" w14:textId="7BFAB051" w:rsidR="00F732DD" w:rsidRPr="00F732DD" w:rsidRDefault="00F732DD" w:rsidP="00F732DD">
      <w:pPr>
        <w:rPr>
          <w:rFonts w:ascii="Arial" w:hAnsi="Arial" w:cs="Arial"/>
          <w:sz w:val="20"/>
          <w:szCs w:val="20"/>
        </w:rPr>
      </w:pPr>
      <w:r w:rsidRPr="00F732DD">
        <w:rPr>
          <w:rFonts w:ascii="Arial" w:hAnsi="Arial" w:cs="Arial"/>
          <w:sz w:val="20"/>
          <w:szCs w:val="20"/>
        </w:rPr>
        <w:t>Minors (under 18s)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11</w:t>
      </w:r>
    </w:p>
    <w:p w14:paraId="4480C06A" w14:textId="205A8F4D" w:rsidR="00F732DD" w:rsidRPr="00F732DD" w:rsidRDefault="00F732DD" w:rsidP="00F732DD">
      <w:pPr>
        <w:rPr>
          <w:rFonts w:ascii="Arial" w:hAnsi="Arial" w:cs="Arial"/>
          <w:sz w:val="20"/>
          <w:szCs w:val="20"/>
        </w:rPr>
      </w:pPr>
      <w:r w:rsidRPr="00F732DD">
        <w:rPr>
          <w:rFonts w:ascii="Arial" w:hAnsi="Arial" w:cs="Arial"/>
          <w:sz w:val="20"/>
          <w:szCs w:val="20"/>
        </w:rPr>
        <w:t>Non-residential homes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12</w:t>
      </w:r>
    </w:p>
    <w:p w14:paraId="4C94732C" w14:textId="7C2E2187" w:rsidR="00F732DD" w:rsidRPr="00F732DD" w:rsidRDefault="00F732DD" w:rsidP="00F732DD">
      <w:pPr>
        <w:rPr>
          <w:rFonts w:ascii="Arial" w:hAnsi="Arial" w:cs="Arial"/>
          <w:sz w:val="20"/>
          <w:szCs w:val="20"/>
        </w:rPr>
      </w:pPr>
      <w:r w:rsidRPr="00F732DD">
        <w:rPr>
          <w:rFonts w:ascii="Arial" w:hAnsi="Arial" w:cs="Arial"/>
          <w:sz w:val="20"/>
          <w:szCs w:val="20"/>
        </w:rPr>
        <w:t>Joint tenancies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Pr>
          <w:rFonts w:ascii="Arial" w:hAnsi="Arial" w:cs="Arial"/>
          <w:sz w:val="20"/>
          <w:szCs w:val="20"/>
        </w:rPr>
        <w:tab/>
      </w:r>
      <w:r w:rsidRPr="00F732DD">
        <w:rPr>
          <w:rFonts w:ascii="Arial" w:hAnsi="Arial" w:cs="Arial"/>
          <w:sz w:val="20"/>
          <w:szCs w:val="20"/>
        </w:rPr>
        <w:t>13</w:t>
      </w:r>
    </w:p>
    <w:p w14:paraId="59C2B078" w14:textId="39567D91" w:rsidR="00F732DD" w:rsidRPr="00F732DD" w:rsidRDefault="00F732DD" w:rsidP="00F732DD">
      <w:pPr>
        <w:rPr>
          <w:rFonts w:ascii="Arial" w:hAnsi="Arial" w:cs="Arial"/>
          <w:sz w:val="20"/>
          <w:szCs w:val="20"/>
        </w:rPr>
      </w:pPr>
      <w:r w:rsidRPr="00F732DD">
        <w:rPr>
          <w:rFonts w:ascii="Arial" w:hAnsi="Arial" w:cs="Arial"/>
          <w:sz w:val="20"/>
          <w:szCs w:val="20"/>
        </w:rPr>
        <w:t>Assignment</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t>14</w:t>
      </w:r>
    </w:p>
    <w:p w14:paraId="131652D2" w14:textId="57D9917E" w:rsidR="00F732DD" w:rsidRPr="00F732DD" w:rsidRDefault="00F732DD" w:rsidP="00F732DD">
      <w:pPr>
        <w:rPr>
          <w:rFonts w:ascii="Arial" w:hAnsi="Arial" w:cs="Arial"/>
          <w:sz w:val="20"/>
          <w:szCs w:val="20"/>
        </w:rPr>
      </w:pPr>
      <w:r w:rsidRPr="00F732DD">
        <w:rPr>
          <w:rFonts w:ascii="Arial" w:hAnsi="Arial" w:cs="Arial"/>
          <w:sz w:val="20"/>
          <w:szCs w:val="20"/>
        </w:rPr>
        <w:t>Squatters and illegal occupiers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Pr>
          <w:rFonts w:ascii="Arial" w:hAnsi="Arial" w:cs="Arial"/>
          <w:sz w:val="20"/>
          <w:szCs w:val="20"/>
        </w:rPr>
        <w:tab/>
      </w:r>
      <w:r w:rsidRPr="00F732DD">
        <w:rPr>
          <w:rFonts w:ascii="Arial" w:hAnsi="Arial" w:cs="Arial"/>
          <w:sz w:val="20"/>
          <w:szCs w:val="20"/>
        </w:rPr>
        <w:t>15</w:t>
      </w:r>
    </w:p>
    <w:p w14:paraId="2F6E5D71" w14:textId="50AF6ADC" w:rsidR="00F732DD" w:rsidRPr="00F732DD" w:rsidRDefault="00F732DD" w:rsidP="00F732DD">
      <w:pPr>
        <w:rPr>
          <w:rFonts w:ascii="Arial" w:hAnsi="Arial" w:cs="Arial"/>
          <w:sz w:val="20"/>
          <w:szCs w:val="20"/>
        </w:rPr>
      </w:pPr>
      <w:r w:rsidRPr="00F732DD">
        <w:rPr>
          <w:rFonts w:ascii="Arial" w:hAnsi="Arial" w:cs="Arial"/>
          <w:sz w:val="20"/>
          <w:szCs w:val="20"/>
        </w:rPr>
        <w:t>Diversity and inclusion</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Pr>
          <w:rFonts w:ascii="Arial" w:hAnsi="Arial" w:cs="Arial"/>
          <w:sz w:val="20"/>
          <w:szCs w:val="20"/>
        </w:rPr>
        <w:tab/>
      </w:r>
      <w:r w:rsidRPr="00F732DD">
        <w:rPr>
          <w:rFonts w:ascii="Arial" w:hAnsi="Arial" w:cs="Arial"/>
          <w:sz w:val="20"/>
          <w:szCs w:val="20"/>
        </w:rPr>
        <w:t>16</w:t>
      </w:r>
    </w:p>
    <w:p w14:paraId="7C17A876" w14:textId="56D745D0" w:rsidR="00F732DD" w:rsidRPr="00F732DD" w:rsidRDefault="00F732DD" w:rsidP="00F732DD">
      <w:pPr>
        <w:rPr>
          <w:rFonts w:ascii="Arial" w:hAnsi="Arial" w:cs="Arial"/>
          <w:sz w:val="20"/>
          <w:szCs w:val="20"/>
        </w:rPr>
      </w:pPr>
      <w:r w:rsidRPr="00F732DD">
        <w:rPr>
          <w:rFonts w:ascii="Arial" w:hAnsi="Arial" w:cs="Arial"/>
          <w:sz w:val="20"/>
          <w:szCs w:val="20"/>
        </w:rPr>
        <w:t>Delegated authority</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17</w:t>
      </w:r>
    </w:p>
    <w:p w14:paraId="4187B6C0" w14:textId="6727D5A0" w:rsidR="00F732DD" w:rsidRPr="00F732DD" w:rsidRDefault="00F732DD" w:rsidP="00F732DD">
      <w:pPr>
        <w:rPr>
          <w:rFonts w:ascii="Arial" w:hAnsi="Arial" w:cs="Arial"/>
          <w:sz w:val="20"/>
          <w:szCs w:val="20"/>
        </w:rPr>
      </w:pPr>
      <w:r w:rsidRPr="00F732DD">
        <w:rPr>
          <w:rFonts w:ascii="Arial" w:hAnsi="Arial" w:cs="Arial"/>
          <w:sz w:val="20"/>
          <w:szCs w:val="20"/>
        </w:rPr>
        <w:t>Monitoring</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18</w:t>
      </w:r>
    </w:p>
    <w:p w14:paraId="163DF63A" w14:textId="41FB75EE" w:rsidR="00F732DD" w:rsidRPr="00F732DD" w:rsidRDefault="00F732DD" w:rsidP="00F732DD">
      <w:pPr>
        <w:rPr>
          <w:rFonts w:ascii="Arial" w:hAnsi="Arial" w:cs="Arial"/>
          <w:sz w:val="20"/>
          <w:szCs w:val="20"/>
        </w:rPr>
      </w:pPr>
      <w:r w:rsidRPr="00F732DD">
        <w:rPr>
          <w:rFonts w:ascii="Arial" w:hAnsi="Arial" w:cs="Arial"/>
          <w:sz w:val="20"/>
          <w:szCs w:val="20"/>
        </w:rPr>
        <w:t>Review</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19</w:t>
      </w:r>
    </w:p>
    <w:p w14:paraId="470875A1" w14:textId="7D1D031F" w:rsidR="0017692D" w:rsidRPr="00F732DD" w:rsidRDefault="00F732DD" w:rsidP="00F732DD">
      <w:pPr>
        <w:rPr>
          <w:rFonts w:ascii="Arial" w:hAnsi="Arial" w:cs="Arial"/>
          <w:sz w:val="20"/>
          <w:szCs w:val="20"/>
        </w:rPr>
      </w:pPr>
      <w:r w:rsidRPr="00F732DD">
        <w:rPr>
          <w:rFonts w:ascii="Arial" w:hAnsi="Arial" w:cs="Arial"/>
          <w:sz w:val="20"/>
          <w:szCs w:val="20"/>
        </w:rPr>
        <w:t>Management of fixed term tenancies</w:t>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b/>
      </w:r>
      <w:r w:rsidRPr="00F732DD">
        <w:rPr>
          <w:rFonts w:ascii="Arial" w:hAnsi="Arial" w:cs="Arial"/>
          <w:sz w:val="20"/>
          <w:szCs w:val="20"/>
        </w:rPr>
        <w:t>Appendix 1</w:t>
      </w:r>
    </w:p>
    <w:p w14:paraId="2A320924" w14:textId="59E779AE" w:rsidR="00B5779D" w:rsidRPr="007830C8" w:rsidRDefault="00B5779D" w:rsidP="00995397">
      <w:pPr>
        <w:rPr>
          <w:rFonts w:ascii="Arial" w:hAnsi="Arial" w:cs="Arial"/>
          <w:b/>
          <w:bCs/>
          <w:sz w:val="20"/>
          <w:szCs w:val="20"/>
        </w:rPr>
      </w:pPr>
    </w:p>
    <w:p w14:paraId="6F0AF40C" w14:textId="4C9B9A3E" w:rsidR="001548EF" w:rsidRDefault="001548EF" w:rsidP="051187FC">
      <w:pPr>
        <w:rPr>
          <w:rFonts w:ascii="Arial" w:hAnsi="Arial" w:cs="Arial"/>
          <w:b/>
          <w:bCs/>
          <w:sz w:val="20"/>
          <w:szCs w:val="20"/>
        </w:rPr>
      </w:pPr>
    </w:p>
    <w:p w14:paraId="09212282" w14:textId="77777777" w:rsidR="00F732DD" w:rsidRDefault="00F732DD" w:rsidP="051187FC">
      <w:pPr>
        <w:rPr>
          <w:rFonts w:ascii="Arial" w:hAnsi="Arial" w:cs="Arial"/>
          <w:b/>
          <w:bCs/>
          <w:sz w:val="20"/>
          <w:szCs w:val="20"/>
        </w:rPr>
      </w:pPr>
    </w:p>
    <w:p w14:paraId="39578F42" w14:textId="77777777" w:rsidR="00F732DD" w:rsidRDefault="00F732DD" w:rsidP="051187FC">
      <w:pPr>
        <w:rPr>
          <w:rFonts w:ascii="Arial" w:hAnsi="Arial" w:cs="Arial"/>
          <w:b/>
          <w:bCs/>
          <w:sz w:val="20"/>
          <w:szCs w:val="20"/>
        </w:rPr>
      </w:pPr>
    </w:p>
    <w:p w14:paraId="6E3CEB59" w14:textId="77777777" w:rsidR="00F732DD" w:rsidRDefault="00F732DD" w:rsidP="051187FC">
      <w:pPr>
        <w:rPr>
          <w:rFonts w:ascii="Arial" w:hAnsi="Arial" w:cs="Arial"/>
          <w:b/>
          <w:bCs/>
          <w:sz w:val="20"/>
          <w:szCs w:val="20"/>
        </w:rPr>
      </w:pPr>
    </w:p>
    <w:p w14:paraId="384BA035" w14:textId="77777777" w:rsidR="00F732DD" w:rsidRDefault="00F732DD" w:rsidP="051187FC">
      <w:pPr>
        <w:rPr>
          <w:rFonts w:ascii="Arial" w:hAnsi="Arial" w:cs="Arial"/>
          <w:b/>
          <w:bCs/>
          <w:sz w:val="20"/>
          <w:szCs w:val="20"/>
        </w:rPr>
      </w:pPr>
    </w:p>
    <w:p w14:paraId="6FA8703E" w14:textId="77777777" w:rsidR="00F732DD" w:rsidRDefault="00F732DD" w:rsidP="051187FC">
      <w:pPr>
        <w:rPr>
          <w:rFonts w:ascii="Arial" w:hAnsi="Arial" w:cs="Arial"/>
          <w:b/>
          <w:bCs/>
          <w:sz w:val="20"/>
          <w:szCs w:val="20"/>
        </w:rPr>
      </w:pPr>
    </w:p>
    <w:p w14:paraId="72463B83" w14:textId="77777777" w:rsidR="00F732DD" w:rsidRDefault="00F732DD" w:rsidP="051187FC">
      <w:pPr>
        <w:rPr>
          <w:rFonts w:ascii="Arial" w:hAnsi="Arial" w:cs="Arial"/>
          <w:b/>
          <w:bCs/>
          <w:sz w:val="20"/>
          <w:szCs w:val="20"/>
        </w:rPr>
      </w:pPr>
    </w:p>
    <w:p w14:paraId="615D9E6E" w14:textId="77777777" w:rsidR="00F732DD" w:rsidRDefault="00F732DD" w:rsidP="051187FC">
      <w:pPr>
        <w:rPr>
          <w:rFonts w:ascii="Arial" w:hAnsi="Arial" w:cs="Arial"/>
          <w:b/>
          <w:bCs/>
          <w:sz w:val="20"/>
          <w:szCs w:val="20"/>
        </w:rPr>
      </w:pPr>
    </w:p>
    <w:p w14:paraId="2A653AEA" w14:textId="77777777" w:rsidR="00F732DD" w:rsidRDefault="00F732DD" w:rsidP="051187FC">
      <w:pPr>
        <w:rPr>
          <w:rFonts w:ascii="Arial" w:hAnsi="Arial" w:cs="Arial"/>
          <w:b/>
          <w:bCs/>
          <w:sz w:val="20"/>
          <w:szCs w:val="20"/>
        </w:rPr>
      </w:pPr>
    </w:p>
    <w:p w14:paraId="619879C8" w14:textId="77777777" w:rsidR="00F732DD" w:rsidRPr="00D01AA7" w:rsidRDefault="00F732DD" w:rsidP="051187FC">
      <w:pPr>
        <w:rPr>
          <w:rFonts w:ascii="Arial" w:hAnsi="Arial" w:cs="Arial"/>
          <w:b/>
          <w:bCs/>
          <w:sz w:val="20"/>
          <w:szCs w:val="20"/>
        </w:rPr>
      </w:pPr>
    </w:p>
    <w:p w14:paraId="51947E59" w14:textId="3C0AB6EF" w:rsidR="00C94F1B" w:rsidRPr="007830C8" w:rsidRDefault="59D903EA" w:rsidP="051187FC">
      <w:pPr>
        <w:pStyle w:val="Level1"/>
        <w:keepNext/>
        <w:numPr>
          <w:ilvl w:val="0"/>
          <w:numId w:val="0"/>
        </w:numPr>
        <w:ind w:left="426" w:hanging="710"/>
        <w:rPr>
          <w:rStyle w:val="Level1asheadingtext"/>
          <w:b w:val="0"/>
          <w:sz w:val="22"/>
        </w:rPr>
      </w:pPr>
      <w:r w:rsidRPr="051187FC">
        <w:rPr>
          <w:rStyle w:val="Level1asheadingtext"/>
          <w:sz w:val="22"/>
        </w:rPr>
        <w:lastRenderedPageBreak/>
        <w:t>1</w:t>
      </w:r>
      <w:r w:rsidR="00C94F1B">
        <w:tab/>
      </w:r>
      <w:r w:rsidR="00C94F1B" w:rsidRPr="051187FC">
        <w:rPr>
          <w:rStyle w:val="Level1asheadingtext"/>
          <w:sz w:val="22"/>
        </w:rPr>
        <w:t xml:space="preserve">Introduction </w:t>
      </w:r>
      <w:r w:rsidR="00346919" w:rsidRPr="051187FC">
        <w:rPr>
          <w:rStyle w:val="Level1asheadingtext"/>
          <w:sz w:val="22"/>
        </w:rPr>
        <w:t xml:space="preserve">and </w:t>
      </w:r>
      <w:r w:rsidR="00410031">
        <w:rPr>
          <w:rStyle w:val="Level1asheadingtext"/>
          <w:sz w:val="22"/>
        </w:rPr>
        <w:t>p</w:t>
      </w:r>
      <w:r w:rsidR="00346919" w:rsidRPr="051187FC">
        <w:rPr>
          <w:rStyle w:val="Level1asheadingtext"/>
          <w:sz w:val="22"/>
        </w:rPr>
        <w:t>urpose</w:t>
      </w:r>
    </w:p>
    <w:p w14:paraId="00EA744B" w14:textId="7D8B03DB" w:rsidR="00BB352B" w:rsidRPr="00DE4776" w:rsidRDefault="00642EA1" w:rsidP="5EFC3282">
      <w:pPr>
        <w:pStyle w:val="Level2"/>
        <w:ind w:left="426" w:hanging="710"/>
        <w:rPr>
          <w:sz w:val="22"/>
        </w:rPr>
      </w:pPr>
      <w:r>
        <w:t xml:space="preserve">This policy relates to our rented homes, </w:t>
      </w:r>
      <w:r w:rsidR="00767BE9">
        <w:t>except for</w:t>
      </w:r>
      <w:r w:rsidR="00811A6F">
        <w:t xml:space="preserve"> our Kent Extra Homes </w:t>
      </w:r>
      <w:r w:rsidR="00785D1F">
        <w:t>for</w:t>
      </w:r>
      <w:r w:rsidR="00811A6F">
        <w:t xml:space="preserve"> All (KEHFA) </w:t>
      </w:r>
      <w:r>
        <w:t>accommodation. This Policy does not</w:t>
      </w:r>
      <w:r w:rsidR="00DE4776">
        <w:t xml:space="preserve"> cover home ownership (including freehold, leasehold and shared ownership).</w:t>
      </w:r>
    </w:p>
    <w:p w14:paraId="546DA23F" w14:textId="3AB437E5" w:rsidR="00DE4776" w:rsidRPr="00DE4776" w:rsidRDefault="24D0CC1F" w:rsidP="051187FC">
      <w:pPr>
        <w:pStyle w:val="Level2"/>
        <w:numPr>
          <w:ilvl w:val="0"/>
          <w:numId w:val="0"/>
        </w:numPr>
        <w:ind w:left="426" w:hanging="710"/>
        <w:rPr>
          <w:sz w:val="22"/>
        </w:rPr>
      </w:pPr>
      <w:r>
        <w:t xml:space="preserve">1.2       </w:t>
      </w:r>
      <w:r w:rsidR="00DE4776">
        <w:t>This Policy sets out our approach to:</w:t>
      </w:r>
    </w:p>
    <w:p w14:paraId="0AD7A6C7" w14:textId="77777777" w:rsidR="008D541C" w:rsidRDefault="00DE4776" w:rsidP="008D541C">
      <w:pPr>
        <w:pStyle w:val="Level2"/>
        <w:numPr>
          <w:ilvl w:val="0"/>
          <w:numId w:val="38"/>
        </w:numPr>
      </w:pPr>
      <w:r>
        <w:t>The types of occupation or tenancy agreement we use</w:t>
      </w:r>
    </w:p>
    <w:p w14:paraId="18DCF354" w14:textId="1948C696" w:rsidR="00DE4776" w:rsidRDefault="00DE4776" w:rsidP="008D541C">
      <w:pPr>
        <w:pStyle w:val="Level2"/>
        <w:numPr>
          <w:ilvl w:val="0"/>
          <w:numId w:val="38"/>
        </w:numPr>
      </w:pPr>
      <w:r>
        <w:t xml:space="preserve">Sustaining tenancies, supporting vulnerable </w:t>
      </w:r>
      <w:r w:rsidR="00B04435">
        <w:t>residents,</w:t>
      </w:r>
      <w:r>
        <w:t xml:space="preserve"> and preventing unnecessary eviction</w:t>
      </w:r>
    </w:p>
    <w:p w14:paraId="4406B852" w14:textId="77777777" w:rsidR="00502116" w:rsidRDefault="00DE4776" w:rsidP="00502116">
      <w:pPr>
        <w:pStyle w:val="Level2"/>
        <w:numPr>
          <w:ilvl w:val="0"/>
          <w:numId w:val="38"/>
        </w:numPr>
      </w:pPr>
      <w:r>
        <w:t xml:space="preserve">Management </w:t>
      </w:r>
      <w:r w:rsidR="004A2F42">
        <w:t>of fixed term tenancies</w:t>
      </w:r>
    </w:p>
    <w:p w14:paraId="32A0442C" w14:textId="63AECD4C" w:rsidR="004A2F42" w:rsidRPr="00502116" w:rsidRDefault="004A2F42" w:rsidP="00502116">
      <w:pPr>
        <w:pStyle w:val="Level2"/>
        <w:numPr>
          <w:ilvl w:val="0"/>
          <w:numId w:val="38"/>
        </w:numPr>
      </w:pPr>
      <w:r>
        <w:t>Assignment and joint tenancies</w:t>
      </w:r>
    </w:p>
    <w:p w14:paraId="6A9C7C43" w14:textId="59291F25" w:rsidR="0039279F" w:rsidRPr="007830C8" w:rsidRDefault="15E3B97E" w:rsidP="051187FC">
      <w:pPr>
        <w:pStyle w:val="Level1"/>
        <w:keepNext/>
        <w:numPr>
          <w:ilvl w:val="0"/>
          <w:numId w:val="0"/>
        </w:numPr>
        <w:ind w:left="426" w:hanging="710"/>
        <w:rPr>
          <w:rStyle w:val="Level1asheadingtext"/>
          <w:b w:val="0"/>
          <w:sz w:val="22"/>
        </w:rPr>
      </w:pPr>
      <w:r w:rsidRPr="051187FC">
        <w:rPr>
          <w:rStyle w:val="Level1asheadingtext"/>
          <w:sz w:val="22"/>
        </w:rPr>
        <w:t>2</w:t>
      </w:r>
      <w:r w:rsidR="293982F8" w:rsidRPr="051187FC">
        <w:rPr>
          <w:rStyle w:val="Level1asheadingtext"/>
          <w:sz w:val="22"/>
        </w:rPr>
        <w:t xml:space="preserve">         </w:t>
      </w:r>
      <w:r w:rsidR="00346919" w:rsidRPr="051187FC">
        <w:rPr>
          <w:rStyle w:val="Level1asheadingtext"/>
          <w:sz w:val="22"/>
        </w:rPr>
        <w:t>Responsibilities</w:t>
      </w:r>
    </w:p>
    <w:p w14:paraId="4096187B" w14:textId="2591FA42" w:rsidR="0039279F" w:rsidRPr="00256D2D" w:rsidRDefault="4BB8CF7B" w:rsidP="051187FC">
      <w:pPr>
        <w:pStyle w:val="Level2"/>
        <w:numPr>
          <w:ilvl w:val="0"/>
          <w:numId w:val="0"/>
        </w:numPr>
        <w:ind w:left="426" w:hanging="710"/>
        <w:rPr>
          <w:sz w:val="22"/>
        </w:rPr>
      </w:pPr>
      <w:r>
        <w:t xml:space="preserve">2.1      </w:t>
      </w:r>
      <w:r w:rsidR="00256D2D">
        <w:t xml:space="preserve">We aim to offer stability to enable residents to invest in their home and their community, but we also need to make the best use of our homes for our communities and for those in need of affordable housing. </w:t>
      </w:r>
    </w:p>
    <w:p w14:paraId="66864220" w14:textId="5F6C47D8" w:rsidR="00DD213E" w:rsidRPr="00972395" w:rsidRDefault="7BC32824" w:rsidP="051187FC">
      <w:pPr>
        <w:pStyle w:val="Level2"/>
        <w:numPr>
          <w:ilvl w:val="0"/>
          <w:numId w:val="0"/>
        </w:numPr>
        <w:ind w:left="426" w:hanging="710"/>
        <w:rPr>
          <w:rStyle w:val="Level1asheadingtext"/>
          <w:b w:val="0"/>
        </w:rPr>
      </w:pPr>
      <w:r>
        <w:t xml:space="preserve">2.2      </w:t>
      </w:r>
      <w:r w:rsidR="313B43B0">
        <w:t>We aim to ensure that available homes in local authority areas are a mix of rent types so that a balance is created within our communities. West Kent will annually review the availability of rent types by property type and location to assess how the mix of rent types is maintained.    The use of Affordable Rent is to ensure we can continue to</w:t>
      </w:r>
      <w:r w:rsidR="614E8C99">
        <w:t xml:space="preserve"> provide new affordable housing to respond to housing needs in the communities</w:t>
      </w:r>
    </w:p>
    <w:p w14:paraId="33536E9C" w14:textId="0A27C6D5" w:rsidR="00DD213E" w:rsidRPr="00972395" w:rsidRDefault="6CA4B9E9" w:rsidP="051187FC">
      <w:pPr>
        <w:pStyle w:val="Level2"/>
        <w:numPr>
          <w:ilvl w:val="0"/>
          <w:numId w:val="0"/>
        </w:numPr>
        <w:ind w:left="426" w:hanging="710"/>
        <w:rPr>
          <w:rStyle w:val="Level1asheadingtext"/>
          <w:b w:val="0"/>
        </w:rPr>
      </w:pPr>
      <w:r w:rsidRPr="774988AA">
        <w:rPr>
          <w:rStyle w:val="Level1asheadingtext"/>
          <w:sz w:val="22"/>
        </w:rPr>
        <w:t>3</w:t>
      </w:r>
      <w:r w:rsidR="408784DC" w:rsidRPr="774988AA">
        <w:rPr>
          <w:rStyle w:val="Level1asheadingtext"/>
          <w:sz w:val="22"/>
        </w:rPr>
        <w:t xml:space="preserve">          </w:t>
      </w:r>
      <w:r w:rsidR="00DD213E" w:rsidRPr="774988AA">
        <w:rPr>
          <w:rStyle w:val="Level1asheadingtext"/>
          <w:sz w:val="22"/>
        </w:rPr>
        <w:t xml:space="preserve">Affordability </w:t>
      </w:r>
      <w:r w:rsidR="00410031">
        <w:rPr>
          <w:rStyle w:val="Level1asheadingtext"/>
          <w:sz w:val="22"/>
        </w:rPr>
        <w:t>a</w:t>
      </w:r>
      <w:r w:rsidR="00DD213E" w:rsidRPr="774988AA">
        <w:rPr>
          <w:rStyle w:val="Level1asheadingtext"/>
          <w:sz w:val="22"/>
        </w:rPr>
        <w:t>ssessment</w:t>
      </w:r>
    </w:p>
    <w:p w14:paraId="3FB84A91" w14:textId="39BDA108" w:rsidR="0039279F" w:rsidRPr="00D02525" w:rsidRDefault="189451BC" w:rsidP="051187FC">
      <w:pPr>
        <w:pStyle w:val="Level2"/>
        <w:numPr>
          <w:ilvl w:val="0"/>
          <w:numId w:val="0"/>
        </w:numPr>
        <w:ind w:left="426" w:hanging="710"/>
        <w:rPr>
          <w:sz w:val="22"/>
          <w:highlight w:val="yellow"/>
        </w:rPr>
      </w:pPr>
      <w:r w:rsidRPr="774988AA">
        <w:rPr>
          <w:sz w:val="22"/>
        </w:rPr>
        <w:t xml:space="preserve">3.1      </w:t>
      </w:r>
      <w:r w:rsidR="00515A7E" w:rsidRPr="774988AA">
        <w:rPr>
          <w:sz w:val="22"/>
        </w:rPr>
        <w:t xml:space="preserve">We may </w:t>
      </w:r>
      <w:r w:rsidR="00DB7B56" w:rsidRPr="774988AA">
        <w:rPr>
          <w:sz w:val="22"/>
        </w:rPr>
        <w:t>assess applicants w</w:t>
      </w:r>
      <w:r w:rsidR="00E30EC3" w:rsidRPr="774988AA">
        <w:rPr>
          <w:sz w:val="22"/>
        </w:rPr>
        <w:t>ho are nominated for a West Kent home</w:t>
      </w:r>
      <w:r w:rsidR="00DB7B56" w:rsidRPr="774988AA">
        <w:rPr>
          <w:sz w:val="22"/>
        </w:rPr>
        <w:t xml:space="preserve"> </w:t>
      </w:r>
      <w:r w:rsidR="00E30EC3" w:rsidRPr="774988AA">
        <w:rPr>
          <w:sz w:val="22"/>
        </w:rPr>
        <w:t xml:space="preserve">by completing an </w:t>
      </w:r>
      <w:r w:rsidR="00DD213E" w:rsidRPr="774988AA">
        <w:rPr>
          <w:sz w:val="22"/>
        </w:rPr>
        <w:t xml:space="preserve">affordability check. The check will be based on the applicant’s income and expenditure including rent and estimated bills for the new property. The check will ensure the prospective resident is clear about the cost of running a home and sustaining their tenancy. </w:t>
      </w:r>
    </w:p>
    <w:p w14:paraId="02A711B5" w14:textId="5853296C" w:rsidR="00DD213E" w:rsidRDefault="573B1CEA" w:rsidP="00FC2F4B">
      <w:pPr>
        <w:pStyle w:val="Level2"/>
        <w:numPr>
          <w:ilvl w:val="0"/>
          <w:numId w:val="0"/>
        </w:numPr>
        <w:ind w:left="370" w:hanging="710"/>
        <w:rPr>
          <w:sz w:val="22"/>
        </w:rPr>
      </w:pPr>
      <w:r w:rsidRPr="051187FC">
        <w:rPr>
          <w:sz w:val="22"/>
        </w:rPr>
        <w:t xml:space="preserve">3.2     </w:t>
      </w:r>
      <w:r w:rsidR="00FC2F4B">
        <w:rPr>
          <w:sz w:val="22"/>
        </w:rPr>
        <w:t xml:space="preserve">  </w:t>
      </w:r>
      <w:r w:rsidR="00DD213E" w:rsidRPr="051187FC">
        <w:rPr>
          <w:sz w:val="22"/>
        </w:rPr>
        <w:t xml:space="preserve">If an applicant cannot afford to rent a </w:t>
      </w:r>
      <w:r w:rsidR="00F415F7" w:rsidRPr="051187FC">
        <w:rPr>
          <w:sz w:val="22"/>
        </w:rPr>
        <w:t>home</w:t>
      </w:r>
      <w:r w:rsidR="00DD213E" w:rsidRPr="051187FC">
        <w:rPr>
          <w:sz w:val="22"/>
        </w:rPr>
        <w:t xml:space="preserve"> with reasonable bills, we will be unable to offer the </w:t>
      </w:r>
      <w:r w:rsidR="00B85CF5" w:rsidRPr="051187FC">
        <w:rPr>
          <w:sz w:val="22"/>
        </w:rPr>
        <w:t>home</w:t>
      </w:r>
      <w:r w:rsidR="00DD213E" w:rsidRPr="051187FC">
        <w:rPr>
          <w:sz w:val="22"/>
        </w:rPr>
        <w:t xml:space="preserve"> to them. We will signpost </w:t>
      </w:r>
      <w:r w:rsidR="00B85CF5" w:rsidRPr="051187FC">
        <w:rPr>
          <w:sz w:val="22"/>
        </w:rPr>
        <w:t xml:space="preserve">to </w:t>
      </w:r>
      <w:r w:rsidR="00DD213E" w:rsidRPr="051187FC">
        <w:rPr>
          <w:sz w:val="22"/>
        </w:rPr>
        <w:t xml:space="preserve">agencies that can provide advice on money, budgeting and employment. </w:t>
      </w:r>
    </w:p>
    <w:p w14:paraId="1C118175" w14:textId="35EC7C02" w:rsidR="0039279F" w:rsidRDefault="28ABE4BB" w:rsidP="051187FC">
      <w:pPr>
        <w:pStyle w:val="Level2"/>
        <w:numPr>
          <w:ilvl w:val="0"/>
          <w:numId w:val="0"/>
        </w:numPr>
        <w:ind w:left="426" w:hanging="710"/>
        <w:rPr>
          <w:sz w:val="22"/>
        </w:rPr>
      </w:pPr>
      <w:r w:rsidRPr="051187FC">
        <w:rPr>
          <w:sz w:val="22"/>
        </w:rPr>
        <w:t xml:space="preserve">3.3      </w:t>
      </w:r>
      <w:r w:rsidR="00D043D3" w:rsidRPr="051187FC">
        <w:rPr>
          <w:sz w:val="22"/>
        </w:rPr>
        <w:t xml:space="preserve">All current residents can be signposted to our Employment and Training Team as well as debt advice and money management advice. </w:t>
      </w:r>
    </w:p>
    <w:p w14:paraId="2EF9F727" w14:textId="0EE6E05B" w:rsidR="002D7591" w:rsidRPr="009518F9" w:rsidRDefault="616DAE1F" w:rsidP="051187FC">
      <w:pPr>
        <w:pStyle w:val="Level1"/>
        <w:keepNext/>
        <w:numPr>
          <w:ilvl w:val="0"/>
          <w:numId w:val="0"/>
        </w:numPr>
        <w:ind w:left="426" w:hanging="710"/>
        <w:jc w:val="left"/>
        <w:rPr>
          <w:rStyle w:val="Level1asheadingtext"/>
          <w:b w:val="0"/>
          <w:sz w:val="22"/>
        </w:rPr>
      </w:pPr>
      <w:r w:rsidRPr="774988AA">
        <w:rPr>
          <w:rStyle w:val="Level1asheadingtext"/>
          <w:sz w:val="22"/>
        </w:rPr>
        <w:t>4</w:t>
      </w:r>
      <w:r w:rsidR="767129E6" w:rsidRPr="774988AA">
        <w:rPr>
          <w:rStyle w:val="Level1asheadingtext"/>
          <w:sz w:val="22"/>
        </w:rPr>
        <w:t xml:space="preserve">         </w:t>
      </w:r>
      <w:r w:rsidR="002D7591" w:rsidRPr="774988AA">
        <w:rPr>
          <w:rStyle w:val="Level1asheadingtext"/>
          <w:sz w:val="22"/>
        </w:rPr>
        <w:t>Sustaining tenancies, supporting vulnerable</w:t>
      </w:r>
      <w:r w:rsidR="00B85CF5" w:rsidRPr="774988AA">
        <w:rPr>
          <w:rStyle w:val="Level1asheadingtext"/>
          <w:sz w:val="22"/>
        </w:rPr>
        <w:t xml:space="preserve"> residents</w:t>
      </w:r>
      <w:r w:rsidR="002D7591" w:rsidRPr="774988AA">
        <w:rPr>
          <w:rStyle w:val="Level1asheadingtext"/>
          <w:sz w:val="22"/>
        </w:rPr>
        <w:t xml:space="preserve"> and preventing unnecessary eviction</w:t>
      </w:r>
    </w:p>
    <w:p w14:paraId="21874EDB" w14:textId="38BCA2D4" w:rsidR="002D7591" w:rsidRDefault="75E2AED7" w:rsidP="051187FC">
      <w:pPr>
        <w:pStyle w:val="Level2"/>
        <w:numPr>
          <w:ilvl w:val="0"/>
          <w:numId w:val="0"/>
        </w:numPr>
        <w:ind w:left="426" w:hanging="710"/>
        <w:rPr>
          <w:sz w:val="22"/>
        </w:rPr>
      </w:pPr>
      <w:r w:rsidRPr="051187FC">
        <w:rPr>
          <w:sz w:val="22"/>
        </w:rPr>
        <w:t xml:space="preserve">4.1    </w:t>
      </w:r>
      <w:r w:rsidR="002D7591" w:rsidRPr="051187FC">
        <w:rPr>
          <w:sz w:val="22"/>
        </w:rPr>
        <w:t xml:space="preserve">We want </w:t>
      </w:r>
      <w:r w:rsidR="00E12294" w:rsidRPr="051187FC">
        <w:rPr>
          <w:sz w:val="22"/>
        </w:rPr>
        <w:t xml:space="preserve">residents </w:t>
      </w:r>
      <w:r w:rsidR="002D7591" w:rsidRPr="051187FC">
        <w:rPr>
          <w:sz w:val="22"/>
        </w:rPr>
        <w:t>to maintain their tenancies</w:t>
      </w:r>
      <w:r w:rsidR="004940F4" w:rsidRPr="051187FC">
        <w:rPr>
          <w:sz w:val="22"/>
        </w:rPr>
        <w:t xml:space="preserve"> successfully and prevent </w:t>
      </w:r>
      <w:r w:rsidR="000772B2" w:rsidRPr="051187FC">
        <w:rPr>
          <w:sz w:val="22"/>
        </w:rPr>
        <w:t>unnecessary</w:t>
      </w:r>
      <w:r w:rsidR="004940F4" w:rsidRPr="051187FC">
        <w:rPr>
          <w:sz w:val="22"/>
        </w:rPr>
        <w:t xml:space="preserve"> evictions. We offer appropriate advice and</w:t>
      </w:r>
      <w:r w:rsidR="000772B2" w:rsidRPr="051187FC">
        <w:rPr>
          <w:sz w:val="22"/>
        </w:rPr>
        <w:t xml:space="preserve"> </w:t>
      </w:r>
      <w:r w:rsidR="004940F4" w:rsidRPr="051187FC">
        <w:rPr>
          <w:sz w:val="22"/>
        </w:rPr>
        <w:t xml:space="preserve">support to help </w:t>
      </w:r>
      <w:r w:rsidR="00E12294" w:rsidRPr="051187FC">
        <w:rPr>
          <w:sz w:val="22"/>
        </w:rPr>
        <w:t>residents</w:t>
      </w:r>
      <w:r w:rsidR="004940F4" w:rsidRPr="051187FC">
        <w:rPr>
          <w:sz w:val="22"/>
        </w:rPr>
        <w:t xml:space="preserve"> meet the conditions of their </w:t>
      </w:r>
      <w:r w:rsidR="00135A3C" w:rsidRPr="051187FC">
        <w:rPr>
          <w:sz w:val="22"/>
        </w:rPr>
        <w:t xml:space="preserve">tenancy </w:t>
      </w:r>
      <w:r w:rsidR="00E07BA5" w:rsidRPr="051187FC">
        <w:rPr>
          <w:sz w:val="22"/>
        </w:rPr>
        <w:t>agreement and remain in their homes. We offer financial inclusion</w:t>
      </w:r>
      <w:r w:rsidR="00604236" w:rsidRPr="051187FC">
        <w:rPr>
          <w:sz w:val="22"/>
        </w:rPr>
        <w:t xml:space="preserve"> support </w:t>
      </w:r>
      <w:r w:rsidR="00604236" w:rsidRPr="051187FC">
        <w:rPr>
          <w:sz w:val="22"/>
        </w:rPr>
        <w:lastRenderedPageBreak/>
        <w:t xml:space="preserve">and may provide tenancy sustainment services directly or through referral to </w:t>
      </w:r>
      <w:r w:rsidR="00182AB5" w:rsidRPr="051187FC">
        <w:rPr>
          <w:sz w:val="22"/>
        </w:rPr>
        <w:t xml:space="preserve">an external </w:t>
      </w:r>
      <w:r w:rsidR="00604236" w:rsidRPr="051187FC">
        <w:rPr>
          <w:sz w:val="22"/>
        </w:rPr>
        <w:t xml:space="preserve">specialist </w:t>
      </w:r>
      <w:r w:rsidR="009311E7" w:rsidRPr="051187FC">
        <w:rPr>
          <w:sz w:val="22"/>
        </w:rPr>
        <w:t xml:space="preserve">agency. </w:t>
      </w:r>
    </w:p>
    <w:p w14:paraId="3404A2AE" w14:textId="1B2E6D4F" w:rsidR="009311E7" w:rsidRDefault="2FEEA3BB" w:rsidP="00FC2F4B">
      <w:pPr>
        <w:pStyle w:val="Level2"/>
        <w:numPr>
          <w:ilvl w:val="0"/>
          <w:numId w:val="0"/>
        </w:numPr>
        <w:ind w:left="427" w:hanging="710"/>
        <w:rPr>
          <w:sz w:val="22"/>
        </w:rPr>
      </w:pPr>
      <w:r w:rsidRPr="051187FC">
        <w:rPr>
          <w:sz w:val="22"/>
        </w:rPr>
        <w:t xml:space="preserve">4.2     </w:t>
      </w:r>
      <w:r w:rsidR="00FC2F4B">
        <w:rPr>
          <w:sz w:val="22"/>
        </w:rPr>
        <w:t xml:space="preserve">  </w:t>
      </w:r>
      <w:r w:rsidR="009311E7" w:rsidRPr="051187FC">
        <w:rPr>
          <w:sz w:val="22"/>
        </w:rPr>
        <w:t xml:space="preserve">In deciding on appropriate forms of tenure and offers of housing, we </w:t>
      </w:r>
      <w:proofErr w:type="gramStart"/>
      <w:r w:rsidR="009311E7" w:rsidRPr="051187FC">
        <w:rPr>
          <w:sz w:val="22"/>
        </w:rPr>
        <w:t>take into account</w:t>
      </w:r>
      <w:proofErr w:type="gramEnd"/>
      <w:r w:rsidR="00236526" w:rsidRPr="051187FC">
        <w:rPr>
          <w:sz w:val="22"/>
        </w:rPr>
        <w:t xml:space="preserve"> the needs of households who are vulnerable. We refer and signpost vulnerable </w:t>
      </w:r>
      <w:r w:rsidR="00737628" w:rsidRPr="051187FC">
        <w:rPr>
          <w:sz w:val="22"/>
        </w:rPr>
        <w:t>residents</w:t>
      </w:r>
      <w:r w:rsidR="00F378EC" w:rsidRPr="051187FC">
        <w:rPr>
          <w:sz w:val="22"/>
        </w:rPr>
        <w:t xml:space="preserve"> in general needs housing to external support services to get the help that they need. We offer specialist </w:t>
      </w:r>
      <w:r w:rsidR="001D791F" w:rsidRPr="051187FC">
        <w:rPr>
          <w:sz w:val="22"/>
        </w:rPr>
        <w:t>housing</w:t>
      </w:r>
      <w:r w:rsidR="00C135C3" w:rsidRPr="051187FC">
        <w:rPr>
          <w:sz w:val="22"/>
        </w:rPr>
        <w:t xml:space="preserve"> for older people</w:t>
      </w:r>
      <w:r w:rsidR="001D791F" w:rsidRPr="051187FC">
        <w:rPr>
          <w:sz w:val="22"/>
        </w:rPr>
        <w:t xml:space="preserve">, as well as adapted homes and homes designed for people with disabilities. </w:t>
      </w:r>
    </w:p>
    <w:p w14:paraId="19CA098A" w14:textId="5F242280" w:rsidR="00485E39" w:rsidRDefault="58F77504" w:rsidP="051187FC">
      <w:pPr>
        <w:pStyle w:val="Level2"/>
        <w:numPr>
          <w:ilvl w:val="0"/>
          <w:numId w:val="0"/>
        </w:numPr>
        <w:ind w:left="426" w:hanging="710"/>
        <w:rPr>
          <w:sz w:val="22"/>
        </w:rPr>
      </w:pPr>
      <w:r w:rsidRPr="051187FC">
        <w:rPr>
          <w:sz w:val="22"/>
        </w:rPr>
        <w:t xml:space="preserve">4.3      </w:t>
      </w:r>
      <w:r w:rsidR="00485E39" w:rsidRPr="051187FC">
        <w:rPr>
          <w:sz w:val="22"/>
        </w:rPr>
        <w:t>We will work with partners to safeguard children and vulnerable people.</w:t>
      </w:r>
    </w:p>
    <w:p w14:paraId="2E712DF4" w14:textId="1DB54DAF" w:rsidR="003E19A1" w:rsidRDefault="3BD4B6A0" w:rsidP="051187FC">
      <w:pPr>
        <w:pStyle w:val="Level2"/>
        <w:numPr>
          <w:ilvl w:val="0"/>
          <w:numId w:val="0"/>
        </w:numPr>
        <w:ind w:left="426" w:hanging="710"/>
        <w:rPr>
          <w:sz w:val="22"/>
        </w:rPr>
      </w:pPr>
      <w:r w:rsidRPr="051187FC">
        <w:rPr>
          <w:sz w:val="22"/>
        </w:rPr>
        <w:t xml:space="preserve">4.4     </w:t>
      </w:r>
      <w:r w:rsidR="00485E39" w:rsidRPr="051187FC">
        <w:rPr>
          <w:sz w:val="22"/>
        </w:rPr>
        <w:t xml:space="preserve">We evict </w:t>
      </w:r>
      <w:r w:rsidR="00E345AA" w:rsidRPr="051187FC">
        <w:rPr>
          <w:sz w:val="22"/>
        </w:rPr>
        <w:t>residents</w:t>
      </w:r>
      <w:r w:rsidR="00485E39" w:rsidRPr="051187FC">
        <w:rPr>
          <w:sz w:val="22"/>
        </w:rPr>
        <w:t xml:space="preserve"> as a last resort, only when we have exhausted all options to tackle breaches of the tenancy</w:t>
      </w:r>
      <w:r w:rsidR="001B226A" w:rsidRPr="051187FC">
        <w:rPr>
          <w:sz w:val="22"/>
        </w:rPr>
        <w:t xml:space="preserve"> unless the breach is so significant that other options</w:t>
      </w:r>
      <w:r w:rsidR="00FD6A71" w:rsidRPr="051187FC">
        <w:rPr>
          <w:sz w:val="22"/>
        </w:rPr>
        <w:t xml:space="preserve"> are not viable. We’ll work with our </w:t>
      </w:r>
      <w:r w:rsidR="00396987" w:rsidRPr="051187FC">
        <w:rPr>
          <w:sz w:val="22"/>
        </w:rPr>
        <w:t>residents</w:t>
      </w:r>
      <w:r w:rsidR="00FD6A71" w:rsidRPr="051187FC">
        <w:rPr>
          <w:sz w:val="22"/>
        </w:rPr>
        <w:t xml:space="preserve"> to help the</w:t>
      </w:r>
      <w:r w:rsidR="009C4485" w:rsidRPr="051187FC">
        <w:rPr>
          <w:sz w:val="22"/>
        </w:rPr>
        <w:t>m</w:t>
      </w:r>
      <w:r w:rsidR="00FD6A71" w:rsidRPr="051187FC">
        <w:rPr>
          <w:sz w:val="22"/>
        </w:rPr>
        <w:t xml:space="preserve"> find solutions and avoid eviction. </w:t>
      </w:r>
    </w:p>
    <w:p w14:paraId="482D7358" w14:textId="084C6830" w:rsidR="003E19A1" w:rsidRDefault="2CEF7EBF" w:rsidP="051187FC">
      <w:pPr>
        <w:pStyle w:val="Level2"/>
        <w:numPr>
          <w:ilvl w:val="0"/>
          <w:numId w:val="0"/>
        </w:numPr>
        <w:ind w:left="426" w:hanging="710"/>
        <w:rPr>
          <w:sz w:val="22"/>
        </w:rPr>
      </w:pPr>
      <w:r w:rsidRPr="774988AA">
        <w:rPr>
          <w:sz w:val="22"/>
        </w:rPr>
        <w:t xml:space="preserve">4.5     </w:t>
      </w:r>
      <w:r w:rsidR="00FC2F4B">
        <w:rPr>
          <w:sz w:val="22"/>
        </w:rPr>
        <w:t xml:space="preserve"> </w:t>
      </w:r>
      <w:r w:rsidR="00ED69FE" w:rsidRPr="774988AA">
        <w:rPr>
          <w:sz w:val="22"/>
        </w:rPr>
        <w:t>We will inform the local authority housing advice service in line with our procedures</w:t>
      </w:r>
      <w:r w:rsidR="304A53CC" w:rsidRPr="774988AA">
        <w:rPr>
          <w:sz w:val="22"/>
        </w:rPr>
        <w:t>.</w:t>
      </w:r>
      <w:r w:rsidR="051049EE" w:rsidRPr="774988AA">
        <w:rPr>
          <w:sz w:val="22"/>
        </w:rPr>
        <w:t xml:space="preserve"> </w:t>
      </w:r>
    </w:p>
    <w:p w14:paraId="784ADE3F" w14:textId="36634618" w:rsidR="003E19A1" w:rsidRDefault="55E8E66E" w:rsidP="051187FC">
      <w:pPr>
        <w:pStyle w:val="Level2"/>
        <w:numPr>
          <w:ilvl w:val="0"/>
          <w:numId w:val="0"/>
        </w:numPr>
        <w:ind w:left="426" w:hanging="710"/>
        <w:rPr>
          <w:sz w:val="22"/>
        </w:rPr>
      </w:pPr>
      <w:r w:rsidRPr="051187FC">
        <w:rPr>
          <w:sz w:val="22"/>
        </w:rPr>
        <w:t xml:space="preserve">4.6      </w:t>
      </w:r>
      <w:r w:rsidR="003E19A1" w:rsidRPr="051187FC">
        <w:rPr>
          <w:sz w:val="22"/>
        </w:rPr>
        <w:t>We alert Social Services and other agencies as early as possible in the eviction process, and in line with our Data Protection Policy, where we identify a household member is vulnerable.</w:t>
      </w:r>
    </w:p>
    <w:p w14:paraId="67A529C9" w14:textId="3CB7A01C" w:rsidR="003E19A1" w:rsidRDefault="4C2BFFF7" w:rsidP="051187FC">
      <w:pPr>
        <w:pStyle w:val="Level2"/>
        <w:numPr>
          <w:ilvl w:val="0"/>
          <w:numId w:val="0"/>
        </w:numPr>
        <w:ind w:left="426" w:hanging="710"/>
        <w:rPr>
          <w:sz w:val="22"/>
        </w:rPr>
      </w:pPr>
      <w:r w:rsidRPr="051187FC">
        <w:rPr>
          <w:sz w:val="22"/>
        </w:rPr>
        <w:t xml:space="preserve">4.7      </w:t>
      </w:r>
      <w:r w:rsidR="003E19A1" w:rsidRPr="051187FC">
        <w:rPr>
          <w:sz w:val="22"/>
        </w:rPr>
        <w:t>Before we carry</w:t>
      </w:r>
      <w:r w:rsidR="00E176EF" w:rsidRPr="051187FC">
        <w:rPr>
          <w:sz w:val="22"/>
        </w:rPr>
        <w:t xml:space="preserve"> </w:t>
      </w:r>
      <w:r w:rsidR="003E19A1" w:rsidRPr="051187FC">
        <w:rPr>
          <w:sz w:val="22"/>
        </w:rPr>
        <w:t>out an eviction, we will:</w:t>
      </w:r>
    </w:p>
    <w:p w14:paraId="46EFDAF6" w14:textId="08962F01" w:rsidR="003E19A1" w:rsidRDefault="003E19A1" w:rsidP="006469F0">
      <w:pPr>
        <w:pStyle w:val="Level2"/>
        <w:numPr>
          <w:ilvl w:val="0"/>
          <w:numId w:val="43"/>
        </w:numPr>
        <w:rPr>
          <w:sz w:val="22"/>
        </w:rPr>
      </w:pPr>
      <w:r>
        <w:rPr>
          <w:sz w:val="22"/>
        </w:rPr>
        <w:t>Provide information and advice about housing options</w:t>
      </w:r>
    </w:p>
    <w:p w14:paraId="08B9CE1D" w14:textId="058E2FFD" w:rsidR="003E19A1" w:rsidRDefault="003E19A1" w:rsidP="006469F0">
      <w:pPr>
        <w:pStyle w:val="Level2"/>
        <w:numPr>
          <w:ilvl w:val="0"/>
          <w:numId w:val="43"/>
        </w:numPr>
        <w:rPr>
          <w:sz w:val="22"/>
        </w:rPr>
      </w:pPr>
      <w:r w:rsidRPr="5EFC3282">
        <w:rPr>
          <w:sz w:val="22"/>
        </w:rPr>
        <w:t xml:space="preserve">Refer </w:t>
      </w:r>
      <w:r w:rsidR="00BA1820" w:rsidRPr="5EFC3282">
        <w:rPr>
          <w:sz w:val="22"/>
        </w:rPr>
        <w:t xml:space="preserve">residents </w:t>
      </w:r>
      <w:r w:rsidRPr="5EFC3282">
        <w:rPr>
          <w:sz w:val="22"/>
        </w:rPr>
        <w:t>for financial support where needed</w:t>
      </w:r>
    </w:p>
    <w:p w14:paraId="78BD1F54" w14:textId="08B42000" w:rsidR="003E19A1" w:rsidRDefault="003E19A1" w:rsidP="006469F0">
      <w:pPr>
        <w:pStyle w:val="Level2"/>
        <w:numPr>
          <w:ilvl w:val="0"/>
          <w:numId w:val="43"/>
        </w:numPr>
        <w:rPr>
          <w:sz w:val="22"/>
        </w:rPr>
      </w:pPr>
      <w:r w:rsidRPr="5EFC3282">
        <w:rPr>
          <w:sz w:val="22"/>
        </w:rPr>
        <w:t xml:space="preserve">Refer </w:t>
      </w:r>
      <w:r w:rsidR="00BA1820" w:rsidRPr="5EFC3282">
        <w:rPr>
          <w:sz w:val="22"/>
        </w:rPr>
        <w:t xml:space="preserve">residents </w:t>
      </w:r>
      <w:r w:rsidRPr="5EFC3282">
        <w:rPr>
          <w:sz w:val="22"/>
        </w:rPr>
        <w:t xml:space="preserve">to other agencies such as Citizens Advice, housing advice services, and the homeless persons </w:t>
      </w:r>
      <w:r w:rsidR="006469F0">
        <w:rPr>
          <w:sz w:val="22"/>
        </w:rPr>
        <w:t>team</w:t>
      </w:r>
      <w:r w:rsidRPr="5EFC3282">
        <w:rPr>
          <w:sz w:val="22"/>
        </w:rPr>
        <w:t xml:space="preserve"> at the local authority</w:t>
      </w:r>
    </w:p>
    <w:p w14:paraId="378D5DF1" w14:textId="5E6AEBAD" w:rsidR="00D01AA7" w:rsidRPr="009518F9" w:rsidRDefault="40A59689" w:rsidP="051187FC">
      <w:pPr>
        <w:pStyle w:val="Level1"/>
        <w:keepNext/>
        <w:numPr>
          <w:ilvl w:val="0"/>
          <w:numId w:val="0"/>
        </w:numPr>
        <w:ind w:left="426" w:hanging="710"/>
        <w:rPr>
          <w:rStyle w:val="Level1asheadingtext"/>
          <w:b w:val="0"/>
          <w:sz w:val="22"/>
        </w:rPr>
      </w:pPr>
      <w:r w:rsidRPr="051187FC">
        <w:rPr>
          <w:rStyle w:val="Level1asheadingtext"/>
          <w:sz w:val="22"/>
        </w:rPr>
        <w:t>5</w:t>
      </w:r>
      <w:r w:rsidR="00D01AA7">
        <w:tab/>
      </w:r>
      <w:r w:rsidR="00D01AA7" w:rsidRPr="051187FC">
        <w:rPr>
          <w:rStyle w:val="Level1asheadingtext"/>
          <w:sz w:val="22"/>
        </w:rPr>
        <w:t>Types of agreement</w:t>
      </w:r>
    </w:p>
    <w:p w14:paraId="4559ACAF" w14:textId="45A61761" w:rsidR="00D01AA7" w:rsidRPr="00344226" w:rsidRDefault="1727E2C0" w:rsidP="051187FC">
      <w:pPr>
        <w:pStyle w:val="Level2"/>
        <w:numPr>
          <w:ilvl w:val="0"/>
          <w:numId w:val="0"/>
        </w:numPr>
        <w:ind w:left="426" w:hanging="710"/>
        <w:rPr>
          <w:sz w:val="22"/>
        </w:rPr>
      </w:pPr>
      <w:r>
        <w:t>5.</w:t>
      </w:r>
      <w:r w:rsidR="1A956C2C">
        <w:t xml:space="preserve">1   </w:t>
      </w:r>
      <w:r w:rsidR="00FC2F4B">
        <w:t xml:space="preserve">    </w:t>
      </w:r>
      <w:r w:rsidR="00D01AA7">
        <w:t>We offer tenancies or terms of occupation that are compatible with the:</w:t>
      </w:r>
    </w:p>
    <w:p w14:paraId="1C429004" w14:textId="77777777" w:rsidR="00D01AA7" w:rsidRDefault="00D01AA7" w:rsidP="00995397">
      <w:pPr>
        <w:pStyle w:val="Level2"/>
        <w:numPr>
          <w:ilvl w:val="0"/>
          <w:numId w:val="39"/>
        </w:numPr>
      </w:pPr>
      <w:r>
        <w:t>Purpose of the accommodation</w:t>
      </w:r>
    </w:p>
    <w:p w14:paraId="409BA625" w14:textId="77777777" w:rsidR="00D01AA7" w:rsidRDefault="00D01AA7" w:rsidP="00995397">
      <w:pPr>
        <w:pStyle w:val="Level2"/>
        <w:numPr>
          <w:ilvl w:val="0"/>
          <w:numId w:val="39"/>
        </w:numPr>
      </w:pPr>
      <w:r>
        <w:t>Needs of individual households</w:t>
      </w:r>
    </w:p>
    <w:p w14:paraId="2E41B83A" w14:textId="77777777" w:rsidR="00D01AA7" w:rsidRDefault="00D01AA7" w:rsidP="00995397">
      <w:pPr>
        <w:pStyle w:val="Level2"/>
        <w:numPr>
          <w:ilvl w:val="0"/>
          <w:numId w:val="39"/>
        </w:numPr>
      </w:pPr>
      <w:r>
        <w:t>Sustainability of the community</w:t>
      </w:r>
    </w:p>
    <w:p w14:paraId="2A455A4B" w14:textId="77777777" w:rsidR="00D01AA7" w:rsidRDefault="00D01AA7" w:rsidP="00995397">
      <w:pPr>
        <w:pStyle w:val="Level2"/>
        <w:numPr>
          <w:ilvl w:val="0"/>
          <w:numId w:val="39"/>
        </w:numPr>
      </w:pPr>
      <w:r>
        <w:t>Efficient use of our homes</w:t>
      </w:r>
    </w:p>
    <w:p w14:paraId="41A5C530" w14:textId="77777777" w:rsidR="00D01AA7" w:rsidRDefault="00D01AA7" w:rsidP="00995397">
      <w:pPr>
        <w:pStyle w:val="Level2"/>
        <w:numPr>
          <w:ilvl w:val="0"/>
          <w:numId w:val="39"/>
        </w:numPr>
      </w:pPr>
      <w:r>
        <w:t>Our strategic housing functions</w:t>
      </w:r>
    </w:p>
    <w:p w14:paraId="0F8AA964" w14:textId="7A012EFD" w:rsidR="00D01AA7" w:rsidRPr="00F63CA7" w:rsidRDefault="2E250FF6" w:rsidP="051187FC">
      <w:pPr>
        <w:pStyle w:val="Level2"/>
        <w:numPr>
          <w:ilvl w:val="0"/>
          <w:numId w:val="0"/>
        </w:numPr>
        <w:ind w:left="426" w:hanging="710"/>
        <w:rPr>
          <w:sz w:val="22"/>
        </w:rPr>
      </w:pPr>
      <w:r>
        <w:t xml:space="preserve">5.2    </w:t>
      </w:r>
      <w:r w:rsidR="00FC2F4B">
        <w:t xml:space="preserve">  </w:t>
      </w:r>
      <w:r w:rsidR="00D01AA7">
        <w:t>We use a range of occupancy agreements including but not limited to:</w:t>
      </w:r>
    </w:p>
    <w:p w14:paraId="55912AD5" w14:textId="77777777" w:rsidR="00D01AA7" w:rsidRDefault="00D01AA7" w:rsidP="00995397">
      <w:pPr>
        <w:pStyle w:val="Level2"/>
        <w:numPr>
          <w:ilvl w:val="0"/>
          <w:numId w:val="40"/>
        </w:numPr>
      </w:pPr>
      <w:r>
        <w:t>Assured non-shorthold tenancies (often referred to as lifetime tenancies)</w:t>
      </w:r>
    </w:p>
    <w:p w14:paraId="673A4CF9" w14:textId="75DE5064" w:rsidR="774988AA" w:rsidRPr="00410031" w:rsidRDefault="00D01AA7" w:rsidP="00410031">
      <w:pPr>
        <w:pStyle w:val="Level2"/>
        <w:numPr>
          <w:ilvl w:val="0"/>
          <w:numId w:val="40"/>
        </w:numPr>
        <w:rPr>
          <w:sz w:val="22"/>
        </w:rPr>
      </w:pPr>
      <w:r>
        <w:t>Assured shorthold tenancies</w:t>
      </w:r>
    </w:p>
    <w:p w14:paraId="51A99478" w14:textId="1581CD1D" w:rsidR="00D01AA7" w:rsidRPr="00846713" w:rsidRDefault="00D01AA7" w:rsidP="009D35E9">
      <w:pPr>
        <w:pStyle w:val="Level2"/>
        <w:numPr>
          <w:ilvl w:val="0"/>
          <w:numId w:val="40"/>
        </w:numPr>
        <w:rPr>
          <w:sz w:val="22"/>
        </w:rPr>
      </w:pPr>
      <w:r>
        <w:t xml:space="preserve">Licences </w:t>
      </w:r>
    </w:p>
    <w:tbl>
      <w:tblPr>
        <w:tblStyle w:val="TableGrid1"/>
        <w:tblW w:w="0" w:type="auto"/>
        <w:tblInd w:w="-113" w:type="dxa"/>
        <w:tblLook w:val="04A0" w:firstRow="1" w:lastRow="0" w:firstColumn="1" w:lastColumn="0" w:noHBand="0" w:noVBand="1"/>
      </w:tblPr>
      <w:tblGrid>
        <w:gridCol w:w="2750"/>
        <w:gridCol w:w="6266"/>
      </w:tblGrid>
      <w:tr w:rsidR="003966B7" w:rsidRPr="00E744C3" w14:paraId="18686D84" w14:textId="77777777" w:rsidTr="5EFC3282">
        <w:tc>
          <w:tcPr>
            <w:tcW w:w="2750" w:type="dxa"/>
          </w:tcPr>
          <w:p w14:paraId="7425372E" w14:textId="77777777" w:rsidR="003966B7" w:rsidRPr="00E744C3" w:rsidRDefault="003966B7" w:rsidP="00995397">
            <w:pPr>
              <w:spacing w:line="276" w:lineRule="auto"/>
              <w:jc w:val="center"/>
              <w:rPr>
                <w:rFonts w:ascii="Arial" w:hAnsi="Arial" w:cs="Arial"/>
                <w:b/>
              </w:rPr>
            </w:pPr>
            <w:r w:rsidRPr="00E744C3">
              <w:rPr>
                <w:rFonts w:ascii="Arial" w:hAnsi="Arial" w:cs="Arial"/>
                <w:b/>
              </w:rPr>
              <w:lastRenderedPageBreak/>
              <w:t>Tenancy Type</w:t>
            </w:r>
          </w:p>
        </w:tc>
        <w:tc>
          <w:tcPr>
            <w:tcW w:w="6266" w:type="dxa"/>
          </w:tcPr>
          <w:p w14:paraId="52C2DB6B" w14:textId="77777777" w:rsidR="003966B7" w:rsidRPr="00E744C3" w:rsidRDefault="003966B7" w:rsidP="00995397">
            <w:pPr>
              <w:jc w:val="center"/>
              <w:rPr>
                <w:rFonts w:ascii="Arial" w:hAnsi="Arial" w:cs="Arial"/>
                <w:b/>
              </w:rPr>
            </w:pPr>
            <w:r w:rsidRPr="00E744C3">
              <w:rPr>
                <w:rFonts w:ascii="Arial" w:hAnsi="Arial" w:cs="Arial"/>
                <w:b/>
              </w:rPr>
              <w:t>Offered to</w:t>
            </w:r>
          </w:p>
        </w:tc>
      </w:tr>
      <w:tr w:rsidR="003966B7" w:rsidRPr="00E744C3" w14:paraId="412AA9A1" w14:textId="77777777" w:rsidTr="5EFC3282">
        <w:tc>
          <w:tcPr>
            <w:tcW w:w="2750" w:type="dxa"/>
          </w:tcPr>
          <w:p w14:paraId="793E2C07" w14:textId="77777777" w:rsidR="003966B7" w:rsidRPr="00E744C3" w:rsidRDefault="003966B7" w:rsidP="00995397">
            <w:pPr>
              <w:spacing w:line="276" w:lineRule="auto"/>
              <w:jc w:val="both"/>
              <w:rPr>
                <w:rFonts w:ascii="Arial" w:hAnsi="Arial" w:cs="Arial"/>
              </w:rPr>
            </w:pPr>
            <w:r w:rsidRPr="00E744C3">
              <w:rPr>
                <w:rFonts w:ascii="Arial" w:hAnsi="Arial" w:cs="Arial"/>
              </w:rPr>
              <w:t>Licence agreement</w:t>
            </w:r>
          </w:p>
        </w:tc>
        <w:tc>
          <w:tcPr>
            <w:tcW w:w="6266" w:type="dxa"/>
          </w:tcPr>
          <w:p w14:paraId="715E18DF" w14:textId="059F5609" w:rsidR="003966B7" w:rsidRPr="00E744C3" w:rsidRDefault="0A5A59AE" w:rsidP="00995397">
            <w:pPr>
              <w:numPr>
                <w:ilvl w:val="1"/>
                <w:numId w:val="23"/>
              </w:numPr>
              <w:autoSpaceDE w:val="0"/>
              <w:autoSpaceDN w:val="0"/>
              <w:adjustRightInd w:val="0"/>
              <w:spacing w:line="276" w:lineRule="auto"/>
              <w:rPr>
                <w:rFonts w:ascii="Arial" w:hAnsi="Arial" w:cs="Arial"/>
              </w:rPr>
            </w:pPr>
            <w:r w:rsidRPr="5EFC3282">
              <w:rPr>
                <w:rFonts w:ascii="Arial" w:hAnsi="Arial" w:cs="Arial"/>
              </w:rPr>
              <w:t>Residents in temporary accommodation</w:t>
            </w:r>
            <w:r w:rsidR="395FD085" w:rsidRPr="5EFC3282">
              <w:rPr>
                <w:rFonts w:ascii="Arial" w:hAnsi="Arial" w:cs="Arial"/>
              </w:rPr>
              <w:t xml:space="preserve"> </w:t>
            </w:r>
          </w:p>
          <w:p w14:paraId="41ED217E" w14:textId="77777777" w:rsidR="003966B7" w:rsidRPr="00E744C3" w:rsidRDefault="003966B7" w:rsidP="00995397">
            <w:pPr>
              <w:numPr>
                <w:ilvl w:val="1"/>
                <w:numId w:val="23"/>
              </w:numPr>
              <w:autoSpaceDE w:val="0"/>
              <w:autoSpaceDN w:val="0"/>
              <w:adjustRightInd w:val="0"/>
              <w:spacing w:line="276" w:lineRule="auto"/>
              <w:rPr>
                <w:rFonts w:ascii="Arial" w:hAnsi="Arial" w:cs="Arial"/>
              </w:rPr>
            </w:pPr>
            <w:r>
              <w:rPr>
                <w:rFonts w:ascii="Arial" w:hAnsi="Arial" w:cs="Arial"/>
              </w:rPr>
              <w:t>Residents</w:t>
            </w:r>
            <w:r w:rsidRPr="00E744C3">
              <w:rPr>
                <w:rFonts w:ascii="Arial" w:hAnsi="Arial" w:cs="Arial"/>
              </w:rPr>
              <w:t xml:space="preserve"> using garages or parking spaces</w:t>
            </w:r>
          </w:p>
        </w:tc>
      </w:tr>
      <w:tr w:rsidR="003966B7" w:rsidRPr="00E744C3" w14:paraId="2B879B48" w14:textId="77777777" w:rsidTr="5EFC3282">
        <w:tc>
          <w:tcPr>
            <w:tcW w:w="2750" w:type="dxa"/>
          </w:tcPr>
          <w:p w14:paraId="1CBA4A93" w14:textId="77777777" w:rsidR="003966B7" w:rsidRPr="00E744C3" w:rsidRDefault="003966B7" w:rsidP="00995397">
            <w:pPr>
              <w:autoSpaceDE w:val="0"/>
              <w:autoSpaceDN w:val="0"/>
              <w:adjustRightInd w:val="0"/>
              <w:spacing w:line="276" w:lineRule="auto"/>
              <w:jc w:val="both"/>
              <w:rPr>
                <w:rFonts w:ascii="Arial" w:hAnsi="Arial" w:cs="Arial"/>
              </w:rPr>
            </w:pPr>
            <w:r w:rsidRPr="00E744C3">
              <w:rPr>
                <w:rFonts w:ascii="Arial" w:hAnsi="Arial" w:cs="Arial"/>
              </w:rPr>
              <w:t>Assured shorthold</w:t>
            </w:r>
          </w:p>
          <w:p w14:paraId="31CBAF03" w14:textId="77777777" w:rsidR="003966B7" w:rsidRPr="00E744C3" w:rsidRDefault="003966B7" w:rsidP="00995397">
            <w:pPr>
              <w:autoSpaceDE w:val="0"/>
              <w:autoSpaceDN w:val="0"/>
              <w:adjustRightInd w:val="0"/>
              <w:spacing w:line="276" w:lineRule="auto"/>
              <w:jc w:val="both"/>
              <w:rPr>
                <w:rFonts w:ascii="Arial" w:hAnsi="Arial" w:cs="Arial"/>
              </w:rPr>
            </w:pPr>
            <w:r w:rsidRPr="00E744C3">
              <w:rPr>
                <w:rFonts w:ascii="Arial" w:hAnsi="Arial" w:cs="Arial"/>
              </w:rPr>
              <w:t>tenancy</w:t>
            </w:r>
          </w:p>
          <w:p w14:paraId="6E05D61C" w14:textId="77777777" w:rsidR="003966B7" w:rsidRPr="00E744C3" w:rsidRDefault="003966B7" w:rsidP="00995397">
            <w:pPr>
              <w:spacing w:line="276" w:lineRule="auto"/>
              <w:jc w:val="both"/>
              <w:rPr>
                <w:rFonts w:ascii="Arial" w:hAnsi="Arial" w:cs="Arial"/>
              </w:rPr>
            </w:pPr>
            <w:r w:rsidRPr="00E744C3">
              <w:rPr>
                <w:rFonts w:ascii="Arial" w:hAnsi="Arial" w:cs="Arial"/>
              </w:rPr>
              <w:t>6 months – 3 years</w:t>
            </w:r>
          </w:p>
        </w:tc>
        <w:tc>
          <w:tcPr>
            <w:tcW w:w="6266" w:type="dxa"/>
          </w:tcPr>
          <w:p w14:paraId="70F3F012" w14:textId="77777777" w:rsidR="003966B7" w:rsidRPr="00E744C3" w:rsidRDefault="003966B7" w:rsidP="00995397">
            <w:pPr>
              <w:numPr>
                <w:ilvl w:val="1"/>
                <w:numId w:val="23"/>
              </w:numPr>
              <w:autoSpaceDE w:val="0"/>
              <w:autoSpaceDN w:val="0"/>
              <w:adjustRightInd w:val="0"/>
              <w:spacing w:line="276" w:lineRule="auto"/>
              <w:rPr>
                <w:rFonts w:ascii="Arial" w:hAnsi="Arial" w:cs="Arial"/>
              </w:rPr>
            </w:pPr>
            <w:r>
              <w:rPr>
                <w:rFonts w:ascii="Arial" w:hAnsi="Arial" w:cs="Arial"/>
              </w:rPr>
              <w:t>Residents</w:t>
            </w:r>
            <w:r w:rsidRPr="00E744C3">
              <w:rPr>
                <w:rFonts w:ascii="Arial" w:hAnsi="Arial" w:cs="Arial"/>
              </w:rPr>
              <w:t xml:space="preserve"> living in intermediate </w:t>
            </w:r>
            <w:r>
              <w:rPr>
                <w:rFonts w:ascii="Arial" w:hAnsi="Arial" w:cs="Arial"/>
              </w:rPr>
              <w:t xml:space="preserve">market </w:t>
            </w:r>
            <w:r w:rsidRPr="00E744C3">
              <w:rPr>
                <w:rFonts w:ascii="Arial" w:hAnsi="Arial" w:cs="Arial"/>
              </w:rPr>
              <w:t>rented properties</w:t>
            </w:r>
          </w:p>
          <w:p w14:paraId="594DE523" w14:textId="77777777" w:rsidR="003966B7" w:rsidRPr="00E744C3" w:rsidRDefault="395FD085" w:rsidP="00995397">
            <w:pPr>
              <w:numPr>
                <w:ilvl w:val="1"/>
                <w:numId w:val="23"/>
              </w:numPr>
              <w:autoSpaceDE w:val="0"/>
              <w:autoSpaceDN w:val="0"/>
              <w:adjustRightInd w:val="0"/>
              <w:spacing w:line="276" w:lineRule="auto"/>
              <w:rPr>
                <w:rFonts w:ascii="Arial" w:hAnsi="Arial" w:cs="Arial"/>
              </w:rPr>
            </w:pPr>
            <w:r w:rsidRPr="5EFC3282">
              <w:rPr>
                <w:rFonts w:ascii="Arial" w:hAnsi="Arial" w:cs="Arial"/>
              </w:rPr>
              <w:t>Residents in supported housing move-on schemes</w:t>
            </w:r>
          </w:p>
          <w:p w14:paraId="1EF3F66E" w14:textId="77777777" w:rsidR="003966B7" w:rsidRPr="00E744C3" w:rsidRDefault="003966B7" w:rsidP="00995397">
            <w:pPr>
              <w:numPr>
                <w:ilvl w:val="1"/>
                <w:numId w:val="23"/>
              </w:numPr>
              <w:autoSpaceDE w:val="0"/>
              <w:autoSpaceDN w:val="0"/>
              <w:adjustRightInd w:val="0"/>
              <w:spacing w:line="276" w:lineRule="auto"/>
              <w:rPr>
                <w:rFonts w:ascii="Arial" w:hAnsi="Arial" w:cs="Arial"/>
              </w:rPr>
            </w:pPr>
            <w:r>
              <w:rPr>
                <w:rFonts w:ascii="Arial" w:hAnsi="Arial" w:cs="Arial"/>
              </w:rPr>
              <w:t>Residents</w:t>
            </w:r>
            <w:r w:rsidRPr="00E744C3">
              <w:rPr>
                <w:rFonts w:ascii="Arial" w:hAnsi="Arial" w:cs="Arial"/>
              </w:rPr>
              <w:t xml:space="preserve"> with limited leave to remain in</w:t>
            </w:r>
          </w:p>
          <w:p w14:paraId="104189B2" w14:textId="77777777" w:rsidR="003966B7" w:rsidRDefault="003966B7" w:rsidP="005F0F30">
            <w:pPr>
              <w:pStyle w:val="ListParagraph"/>
              <w:autoSpaceDE w:val="0"/>
              <w:autoSpaceDN w:val="0"/>
              <w:adjustRightInd w:val="0"/>
              <w:spacing w:after="200"/>
              <w:ind w:left="360" w:firstLine="0"/>
              <w:contextualSpacing/>
              <w:jc w:val="left"/>
            </w:pPr>
            <w:r w:rsidRPr="006644D5">
              <w:t>the UK, but with rights to social housing and benefits</w:t>
            </w:r>
          </w:p>
          <w:p w14:paraId="0F26A66D" w14:textId="551AA46E" w:rsidR="003966B7" w:rsidRPr="00E744C3" w:rsidRDefault="0A5A59AE" w:rsidP="00995397">
            <w:pPr>
              <w:pStyle w:val="ListParagraph"/>
              <w:numPr>
                <w:ilvl w:val="1"/>
                <w:numId w:val="23"/>
              </w:numPr>
              <w:autoSpaceDE w:val="0"/>
              <w:autoSpaceDN w:val="0"/>
              <w:adjustRightInd w:val="0"/>
              <w:spacing w:after="200"/>
              <w:contextualSpacing/>
              <w:jc w:val="left"/>
            </w:pPr>
            <w:r>
              <w:t>Residents who are in priority housing need but can only be offered a 6/12-month assured shorthold tenancy while they resolve a legal interest in another property</w:t>
            </w:r>
          </w:p>
          <w:p w14:paraId="3D4C19D3" w14:textId="36DEF563" w:rsidR="003966B7" w:rsidRPr="00E744C3" w:rsidRDefault="026F2BC0" w:rsidP="00995397">
            <w:pPr>
              <w:pStyle w:val="ListParagraph"/>
              <w:numPr>
                <w:ilvl w:val="1"/>
                <w:numId w:val="23"/>
              </w:numPr>
              <w:autoSpaceDE w:val="0"/>
              <w:autoSpaceDN w:val="0"/>
              <w:adjustRightInd w:val="0"/>
              <w:spacing w:after="200"/>
              <w:contextualSpacing/>
              <w:jc w:val="left"/>
            </w:pPr>
            <w:r>
              <w:t>Residents in rooms in short term hostel accommodation</w:t>
            </w:r>
          </w:p>
        </w:tc>
      </w:tr>
      <w:tr w:rsidR="003966B7" w:rsidRPr="00E744C3" w14:paraId="68E69183" w14:textId="77777777" w:rsidTr="5EFC3282">
        <w:tc>
          <w:tcPr>
            <w:tcW w:w="2750" w:type="dxa"/>
          </w:tcPr>
          <w:p w14:paraId="0C5CD4A7" w14:textId="77777777" w:rsidR="003966B7" w:rsidRPr="00E744C3" w:rsidRDefault="003966B7" w:rsidP="00995397">
            <w:pPr>
              <w:autoSpaceDE w:val="0"/>
              <w:autoSpaceDN w:val="0"/>
              <w:adjustRightInd w:val="0"/>
              <w:spacing w:line="276" w:lineRule="auto"/>
              <w:rPr>
                <w:rFonts w:ascii="Arial" w:hAnsi="Arial" w:cs="Arial"/>
              </w:rPr>
            </w:pPr>
            <w:r w:rsidRPr="00E744C3">
              <w:rPr>
                <w:rFonts w:ascii="Arial" w:hAnsi="Arial" w:cs="Arial"/>
              </w:rPr>
              <w:t>Starter tenancy</w:t>
            </w:r>
          </w:p>
          <w:p w14:paraId="6056C6AF" w14:textId="77777777" w:rsidR="003966B7" w:rsidRPr="00E744C3" w:rsidRDefault="003966B7" w:rsidP="00995397">
            <w:pPr>
              <w:autoSpaceDE w:val="0"/>
              <w:autoSpaceDN w:val="0"/>
              <w:adjustRightInd w:val="0"/>
              <w:spacing w:line="276" w:lineRule="auto"/>
              <w:rPr>
                <w:rFonts w:ascii="Arial" w:hAnsi="Arial" w:cs="Arial"/>
              </w:rPr>
            </w:pPr>
            <w:r w:rsidRPr="00E744C3">
              <w:rPr>
                <w:rFonts w:ascii="Arial" w:hAnsi="Arial" w:cs="Arial"/>
              </w:rPr>
              <w:t>(assured shorthold tenancy) 12 months</w:t>
            </w:r>
          </w:p>
        </w:tc>
        <w:tc>
          <w:tcPr>
            <w:tcW w:w="6266" w:type="dxa"/>
          </w:tcPr>
          <w:p w14:paraId="7C11145E" w14:textId="77777777" w:rsidR="003966B7" w:rsidRPr="00E744C3" w:rsidRDefault="003966B7" w:rsidP="009447B7">
            <w:pPr>
              <w:numPr>
                <w:ilvl w:val="0"/>
                <w:numId w:val="22"/>
              </w:numPr>
              <w:autoSpaceDE w:val="0"/>
              <w:autoSpaceDN w:val="0"/>
              <w:adjustRightInd w:val="0"/>
              <w:spacing w:line="276" w:lineRule="auto"/>
              <w:ind w:left="360"/>
              <w:rPr>
                <w:rFonts w:ascii="Arial" w:hAnsi="Arial" w:cs="Arial"/>
              </w:rPr>
            </w:pPr>
            <w:r>
              <w:rPr>
                <w:rFonts w:ascii="Arial" w:hAnsi="Arial" w:cs="Arial"/>
              </w:rPr>
              <w:t>Residents</w:t>
            </w:r>
            <w:r w:rsidRPr="00E744C3">
              <w:rPr>
                <w:rFonts w:ascii="Arial" w:hAnsi="Arial" w:cs="Arial"/>
              </w:rPr>
              <w:t xml:space="preserve"> who have not held a tenancy with a social landlord immediately before moving into the vacant home</w:t>
            </w:r>
            <w:r>
              <w:rPr>
                <w:rFonts w:ascii="Arial" w:hAnsi="Arial" w:cs="Arial"/>
              </w:rPr>
              <w:t>.  This does not include anyone offered Emerald (over 55 years) accommodation.</w:t>
            </w:r>
            <w:r w:rsidRPr="00E744C3">
              <w:rPr>
                <w:rFonts w:ascii="Arial" w:hAnsi="Arial" w:cs="Arial"/>
              </w:rPr>
              <w:t xml:space="preserve"> </w:t>
            </w:r>
          </w:p>
          <w:p w14:paraId="36475076" w14:textId="77777777" w:rsidR="003966B7" w:rsidRPr="00E744C3" w:rsidRDefault="003966B7" w:rsidP="00995397">
            <w:pPr>
              <w:spacing w:line="276" w:lineRule="auto"/>
              <w:rPr>
                <w:rFonts w:ascii="Arial" w:hAnsi="Arial" w:cs="Arial"/>
              </w:rPr>
            </w:pPr>
          </w:p>
        </w:tc>
      </w:tr>
      <w:tr w:rsidR="003966B7" w:rsidRPr="00E744C3" w14:paraId="33F8435F" w14:textId="77777777" w:rsidTr="5EFC3282">
        <w:tc>
          <w:tcPr>
            <w:tcW w:w="2750" w:type="dxa"/>
          </w:tcPr>
          <w:p w14:paraId="706935D7" w14:textId="77777777" w:rsidR="003966B7" w:rsidRPr="00E744C3" w:rsidRDefault="003966B7" w:rsidP="00995397">
            <w:pPr>
              <w:spacing w:line="276" w:lineRule="auto"/>
              <w:jc w:val="both"/>
              <w:rPr>
                <w:rFonts w:ascii="Arial" w:hAnsi="Arial" w:cs="Arial"/>
              </w:rPr>
            </w:pPr>
            <w:r w:rsidRPr="00E744C3">
              <w:rPr>
                <w:rFonts w:ascii="Arial" w:hAnsi="Arial" w:cs="Arial"/>
              </w:rPr>
              <w:t>Assured</w:t>
            </w:r>
            <w:r>
              <w:rPr>
                <w:rFonts w:ascii="Arial" w:hAnsi="Arial" w:cs="Arial"/>
              </w:rPr>
              <w:t xml:space="preserve"> </w:t>
            </w:r>
            <w:r w:rsidRPr="00E744C3">
              <w:rPr>
                <w:rFonts w:ascii="Arial" w:hAnsi="Arial" w:cs="Arial"/>
              </w:rPr>
              <w:t>tenancy</w:t>
            </w:r>
          </w:p>
          <w:p w14:paraId="0F435E7D" w14:textId="77777777" w:rsidR="003966B7" w:rsidRPr="00E744C3" w:rsidRDefault="003966B7" w:rsidP="00995397">
            <w:pPr>
              <w:spacing w:line="276" w:lineRule="auto"/>
              <w:jc w:val="both"/>
              <w:rPr>
                <w:rFonts w:ascii="Arial" w:hAnsi="Arial" w:cs="Arial"/>
              </w:rPr>
            </w:pPr>
          </w:p>
        </w:tc>
        <w:tc>
          <w:tcPr>
            <w:tcW w:w="6266" w:type="dxa"/>
          </w:tcPr>
          <w:p w14:paraId="06297AEB" w14:textId="48E42AF5" w:rsidR="1AB21211" w:rsidRDefault="1AB21211" w:rsidP="009447B7">
            <w:pPr>
              <w:numPr>
                <w:ilvl w:val="0"/>
                <w:numId w:val="22"/>
              </w:numPr>
              <w:spacing w:line="276" w:lineRule="auto"/>
              <w:ind w:left="360"/>
              <w:rPr>
                <w:rFonts w:ascii="Arial" w:hAnsi="Arial" w:cs="Arial"/>
              </w:rPr>
            </w:pPr>
            <w:r w:rsidRPr="5EFC3282">
              <w:rPr>
                <w:rFonts w:ascii="Arial" w:hAnsi="Arial" w:cs="Arial"/>
              </w:rPr>
              <w:t>All new residents that have held a tenancy with a social landlord immediately before moving into the vacant home.</w:t>
            </w:r>
          </w:p>
          <w:p w14:paraId="268C8BBF" w14:textId="77777777" w:rsidR="003966B7" w:rsidRDefault="0A5A59AE" w:rsidP="009447B7">
            <w:pPr>
              <w:numPr>
                <w:ilvl w:val="0"/>
                <w:numId w:val="22"/>
              </w:numPr>
              <w:autoSpaceDE w:val="0"/>
              <w:autoSpaceDN w:val="0"/>
              <w:adjustRightInd w:val="0"/>
              <w:spacing w:line="276" w:lineRule="auto"/>
              <w:ind w:left="360"/>
              <w:rPr>
                <w:rFonts w:ascii="Arial" w:hAnsi="Arial" w:cs="Arial"/>
              </w:rPr>
            </w:pPr>
            <w:r w:rsidRPr="5EFC3282">
              <w:rPr>
                <w:rFonts w:ascii="Arial" w:hAnsi="Arial" w:cs="Arial"/>
              </w:rPr>
              <w:t>Residents with an existing assured non-shorthold tenancy with a registered provider who are transferring to another of property if this was issued before April 2012</w:t>
            </w:r>
          </w:p>
          <w:p w14:paraId="78D9E9E9" w14:textId="77777777" w:rsidR="003966B7" w:rsidRPr="00E744C3" w:rsidRDefault="003966B7" w:rsidP="009447B7">
            <w:pPr>
              <w:numPr>
                <w:ilvl w:val="0"/>
                <w:numId w:val="22"/>
              </w:numPr>
              <w:autoSpaceDE w:val="0"/>
              <w:autoSpaceDN w:val="0"/>
              <w:adjustRightInd w:val="0"/>
              <w:spacing w:line="276" w:lineRule="auto"/>
              <w:ind w:left="360"/>
              <w:rPr>
                <w:rFonts w:ascii="Arial" w:hAnsi="Arial" w:cs="Arial"/>
              </w:rPr>
            </w:pPr>
            <w:r>
              <w:rPr>
                <w:rFonts w:ascii="Arial" w:hAnsi="Arial" w:cs="Arial"/>
              </w:rPr>
              <w:t>Victim/survivors of domestic abuse</w:t>
            </w:r>
          </w:p>
          <w:p w14:paraId="5AEF9371" w14:textId="77777777" w:rsidR="003966B7" w:rsidRPr="00E744C3" w:rsidRDefault="003966B7" w:rsidP="009447B7">
            <w:pPr>
              <w:numPr>
                <w:ilvl w:val="0"/>
                <w:numId w:val="22"/>
              </w:numPr>
              <w:autoSpaceDE w:val="0"/>
              <w:autoSpaceDN w:val="0"/>
              <w:adjustRightInd w:val="0"/>
              <w:spacing w:line="276" w:lineRule="auto"/>
              <w:ind w:left="360"/>
              <w:rPr>
                <w:rFonts w:ascii="Arial" w:hAnsi="Arial" w:cs="Arial"/>
              </w:rPr>
            </w:pPr>
            <w:r>
              <w:rPr>
                <w:rFonts w:ascii="Arial" w:hAnsi="Arial" w:cs="Arial"/>
              </w:rPr>
              <w:t>Residents living in specific Extra Care and Emerald (over 55 years) schemes</w:t>
            </w:r>
          </w:p>
        </w:tc>
      </w:tr>
      <w:tr w:rsidR="003966B7" w:rsidRPr="00E744C3" w14:paraId="361FAEC2" w14:textId="77777777" w:rsidTr="5EFC3282">
        <w:tc>
          <w:tcPr>
            <w:tcW w:w="2750" w:type="dxa"/>
            <w:shd w:val="clear" w:color="auto" w:fill="auto"/>
          </w:tcPr>
          <w:p w14:paraId="563D6DE0" w14:textId="77777777" w:rsidR="003966B7" w:rsidRPr="00E744C3" w:rsidRDefault="0A5A59AE" w:rsidP="00995397">
            <w:pPr>
              <w:spacing w:line="276" w:lineRule="auto"/>
              <w:jc w:val="both"/>
              <w:rPr>
                <w:rFonts w:ascii="Arial" w:hAnsi="Arial" w:cs="Arial"/>
              </w:rPr>
            </w:pPr>
            <w:r w:rsidRPr="5EFC3282">
              <w:rPr>
                <w:rFonts w:ascii="Arial" w:hAnsi="Arial" w:cs="Arial"/>
              </w:rPr>
              <w:t>Best interest tenancies and tenancies under trust</w:t>
            </w:r>
          </w:p>
        </w:tc>
        <w:tc>
          <w:tcPr>
            <w:tcW w:w="6266" w:type="dxa"/>
          </w:tcPr>
          <w:p w14:paraId="0DAD0677" w14:textId="77777777" w:rsidR="003966B7" w:rsidRPr="00E744C3" w:rsidRDefault="003966B7" w:rsidP="00EA0217">
            <w:pPr>
              <w:numPr>
                <w:ilvl w:val="0"/>
                <w:numId w:val="22"/>
              </w:numPr>
              <w:autoSpaceDE w:val="0"/>
              <w:autoSpaceDN w:val="0"/>
              <w:adjustRightInd w:val="0"/>
              <w:spacing w:line="276" w:lineRule="auto"/>
              <w:ind w:left="360"/>
              <w:rPr>
                <w:rFonts w:ascii="Arial" w:hAnsi="Arial" w:cs="Arial"/>
              </w:rPr>
            </w:pPr>
            <w:r>
              <w:rPr>
                <w:rFonts w:ascii="Arial" w:hAnsi="Arial" w:cs="Arial"/>
              </w:rPr>
              <w:t>Residents</w:t>
            </w:r>
            <w:r w:rsidRPr="00E744C3">
              <w:rPr>
                <w:rFonts w:ascii="Arial" w:hAnsi="Arial" w:cs="Arial"/>
              </w:rPr>
              <w:t xml:space="preserve"> who are aged 16 or 17</w:t>
            </w:r>
          </w:p>
          <w:p w14:paraId="41DDBFC6" w14:textId="77777777" w:rsidR="003966B7" w:rsidRPr="00E744C3" w:rsidRDefault="003966B7" w:rsidP="00EA0217">
            <w:pPr>
              <w:numPr>
                <w:ilvl w:val="0"/>
                <w:numId w:val="22"/>
              </w:numPr>
              <w:autoSpaceDE w:val="0"/>
              <w:autoSpaceDN w:val="0"/>
              <w:adjustRightInd w:val="0"/>
              <w:spacing w:line="276" w:lineRule="auto"/>
              <w:ind w:left="360"/>
              <w:rPr>
                <w:rFonts w:ascii="Arial" w:hAnsi="Arial" w:cs="Arial"/>
              </w:rPr>
            </w:pPr>
            <w:r w:rsidRPr="00E744C3">
              <w:rPr>
                <w:rFonts w:ascii="Arial" w:hAnsi="Arial" w:cs="Arial"/>
              </w:rPr>
              <w:t>Applicants without capacity to accept a normal tenancy</w:t>
            </w:r>
          </w:p>
          <w:p w14:paraId="7312DFC6" w14:textId="77777777" w:rsidR="003966B7" w:rsidRPr="00E744C3" w:rsidRDefault="0A5A59AE" w:rsidP="00EA0217">
            <w:pPr>
              <w:numPr>
                <w:ilvl w:val="0"/>
                <w:numId w:val="22"/>
              </w:numPr>
              <w:autoSpaceDE w:val="0"/>
              <w:autoSpaceDN w:val="0"/>
              <w:adjustRightInd w:val="0"/>
              <w:spacing w:line="276" w:lineRule="auto"/>
              <w:ind w:left="360"/>
              <w:rPr>
                <w:rFonts w:ascii="Arial" w:hAnsi="Arial" w:cs="Arial"/>
              </w:rPr>
            </w:pPr>
            <w:r w:rsidRPr="5EFC3282">
              <w:rPr>
                <w:rFonts w:ascii="Arial" w:hAnsi="Arial" w:cs="Arial"/>
              </w:rPr>
              <w:t>Where it is appropriate, and the resident has the appropriate level of support in place to sustain the tenancy</w:t>
            </w:r>
          </w:p>
        </w:tc>
      </w:tr>
    </w:tbl>
    <w:p w14:paraId="71B1AF3C" w14:textId="77777777" w:rsidR="00D01AA7" w:rsidRDefault="00D01AA7" w:rsidP="00995397">
      <w:pPr>
        <w:pStyle w:val="Level2"/>
        <w:numPr>
          <w:ilvl w:val="0"/>
          <w:numId w:val="0"/>
        </w:numPr>
        <w:ind w:left="992" w:hanging="992"/>
        <w:rPr>
          <w:sz w:val="22"/>
        </w:rPr>
      </w:pPr>
    </w:p>
    <w:p w14:paraId="69358BC2" w14:textId="1692DE32" w:rsidR="00D01AA7" w:rsidRPr="002507AD" w:rsidRDefault="066C7C28" w:rsidP="051187FC">
      <w:pPr>
        <w:pStyle w:val="Level2"/>
        <w:numPr>
          <w:ilvl w:val="0"/>
          <w:numId w:val="0"/>
        </w:numPr>
        <w:ind w:left="-284"/>
        <w:rPr>
          <w:sz w:val="22"/>
        </w:rPr>
      </w:pPr>
      <w:r>
        <w:t>5.3</w:t>
      </w:r>
      <w:r w:rsidR="00D01AA7">
        <w:tab/>
        <w:t>All rights and responsibilities are set out in the agreement</w:t>
      </w:r>
      <w:r w:rsidR="002D1BE9">
        <w:t xml:space="preserve"> offered</w:t>
      </w:r>
      <w:r w:rsidR="00D01AA7">
        <w:t xml:space="preserve">. The terms of the </w:t>
      </w:r>
      <w:r w:rsidR="00D01AA7">
        <w:tab/>
      </w:r>
      <w:r w:rsidR="00D01AA7">
        <w:tab/>
      </w:r>
      <w:r w:rsidR="00D01AA7">
        <w:tab/>
        <w:t xml:space="preserve">agreements vary according to the type of the agreement and when the agreement was </w:t>
      </w:r>
      <w:r w:rsidR="00D01AA7">
        <w:tab/>
      </w:r>
      <w:r w:rsidR="00D01AA7">
        <w:tab/>
        <w:t>granted.</w:t>
      </w:r>
    </w:p>
    <w:p w14:paraId="37685649" w14:textId="6D781E6D" w:rsidR="00D01AA7" w:rsidRPr="002507AD" w:rsidRDefault="187E15FA" w:rsidP="00FC2F4B">
      <w:pPr>
        <w:pStyle w:val="Level2"/>
        <w:numPr>
          <w:ilvl w:val="0"/>
          <w:numId w:val="0"/>
        </w:numPr>
        <w:ind w:left="-340"/>
        <w:rPr>
          <w:sz w:val="22"/>
        </w:rPr>
      </w:pPr>
      <w:r>
        <w:t xml:space="preserve">5.4      </w:t>
      </w:r>
      <w:r w:rsidR="00FC2F4B">
        <w:t xml:space="preserve">   </w:t>
      </w:r>
      <w:r w:rsidR="00D01AA7">
        <w:t xml:space="preserve">We grant those who were social housing tenants on or before 1 April 2012, and have </w:t>
      </w:r>
      <w:r w:rsidR="00FC2F4B">
        <w:t xml:space="preserve">  </w:t>
      </w:r>
      <w:proofErr w:type="gramStart"/>
      <w:r w:rsidR="00D01AA7">
        <w:t xml:space="preserve">remained </w:t>
      </w:r>
      <w:r w:rsidR="00FC2F4B">
        <w:t xml:space="preserve"> </w:t>
      </w:r>
      <w:r w:rsidR="00D01AA7">
        <w:t>social</w:t>
      </w:r>
      <w:proofErr w:type="gramEnd"/>
      <w:r w:rsidR="00D01AA7">
        <w:t xml:space="preserve"> housing tenants since that date, a tenancy with no less security where they choose to move to a West Kent social rented home. This is the case whether they move from one of our homes or from a home owned by another housing association or local authority landlord. It does not apply where tenants choose to move to accommodation let on affordable rent terms. </w:t>
      </w:r>
    </w:p>
    <w:p w14:paraId="68E7B341" w14:textId="4E18B092" w:rsidR="00D01AA7" w:rsidRPr="00AA04CA" w:rsidRDefault="682C5856" w:rsidP="051187FC">
      <w:pPr>
        <w:pStyle w:val="Level2"/>
        <w:numPr>
          <w:ilvl w:val="0"/>
          <w:numId w:val="0"/>
        </w:numPr>
        <w:ind w:left="426" w:hanging="710"/>
        <w:rPr>
          <w:sz w:val="22"/>
        </w:rPr>
      </w:pPr>
      <w:r>
        <w:t xml:space="preserve">5.5 </w:t>
      </w:r>
      <w:r w:rsidR="00FC2F4B">
        <w:t xml:space="preserve">  </w:t>
      </w:r>
      <w:r w:rsidR="00D01AA7">
        <w:t xml:space="preserve">We grant tenants who have been moved into alternative accommodation during any redevelopment or other works a tenancy with no less security of tenure on their return to settled accommodation. </w:t>
      </w:r>
    </w:p>
    <w:p w14:paraId="1EAD4051" w14:textId="61684790" w:rsidR="0039279F" w:rsidRPr="00D043D3" w:rsidRDefault="3DF023AC" w:rsidP="00410031">
      <w:pPr>
        <w:pStyle w:val="Level2"/>
        <w:numPr>
          <w:ilvl w:val="0"/>
          <w:numId w:val="0"/>
        </w:numPr>
        <w:ind w:left="426" w:hanging="710"/>
        <w:rPr>
          <w:sz w:val="22"/>
        </w:rPr>
      </w:pPr>
      <w:r>
        <w:t xml:space="preserve">5.6 </w:t>
      </w:r>
      <w:r w:rsidR="00FC2F4B">
        <w:t xml:space="preserve">   </w:t>
      </w:r>
      <w:r w:rsidR="00D01AA7">
        <w:t xml:space="preserve">We offer </w:t>
      </w:r>
      <w:r w:rsidR="00E91129">
        <w:t xml:space="preserve">tenancy </w:t>
      </w:r>
      <w:r w:rsidR="00D01AA7">
        <w:t>agreements in line with specific lettings plans, agreements, or scheme requirements where these are in place.</w:t>
      </w:r>
    </w:p>
    <w:p w14:paraId="2A663EC4" w14:textId="053307D3" w:rsidR="0039279F" w:rsidRPr="00D043D3" w:rsidRDefault="70B3FE7C" w:rsidP="051187FC">
      <w:pPr>
        <w:pStyle w:val="Level1"/>
        <w:keepNext/>
        <w:numPr>
          <w:ilvl w:val="0"/>
          <w:numId w:val="0"/>
        </w:numPr>
        <w:ind w:left="427" w:hanging="710"/>
        <w:rPr>
          <w:sz w:val="22"/>
        </w:rPr>
      </w:pPr>
      <w:r w:rsidRPr="774988AA">
        <w:rPr>
          <w:rStyle w:val="Level1asheadingtext"/>
          <w:sz w:val="22"/>
        </w:rPr>
        <w:lastRenderedPageBreak/>
        <w:t xml:space="preserve">6         </w:t>
      </w:r>
      <w:r w:rsidR="00D043D3" w:rsidRPr="774988AA">
        <w:rPr>
          <w:rStyle w:val="Level1asheadingtext"/>
          <w:sz w:val="22"/>
        </w:rPr>
        <w:t xml:space="preserve">Starter </w:t>
      </w:r>
      <w:r w:rsidR="00410031">
        <w:rPr>
          <w:rStyle w:val="Level1asheadingtext"/>
          <w:sz w:val="22"/>
        </w:rPr>
        <w:t>t</w:t>
      </w:r>
      <w:r w:rsidR="00D043D3" w:rsidRPr="774988AA">
        <w:rPr>
          <w:rStyle w:val="Level1asheadingtext"/>
          <w:sz w:val="22"/>
        </w:rPr>
        <w:t>enancies</w:t>
      </w:r>
    </w:p>
    <w:p w14:paraId="2F82B30E" w14:textId="2972D066" w:rsidR="0039279F" w:rsidRDefault="568B359A" w:rsidP="051187FC">
      <w:pPr>
        <w:pStyle w:val="Level2"/>
        <w:numPr>
          <w:ilvl w:val="0"/>
          <w:numId w:val="0"/>
        </w:numPr>
        <w:ind w:left="426" w:hanging="710"/>
        <w:rPr>
          <w:sz w:val="22"/>
        </w:rPr>
      </w:pPr>
      <w:r w:rsidRPr="051187FC">
        <w:rPr>
          <w:sz w:val="22"/>
        </w:rPr>
        <w:t xml:space="preserve">6.1     </w:t>
      </w:r>
      <w:r w:rsidR="00FC2F4B">
        <w:rPr>
          <w:sz w:val="22"/>
        </w:rPr>
        <w:t xml:space="preserve"> </w:t>
      </w:r>
      <w:r w:rsidR="00D043D3" w:rsidRPr="051187FC">
        <w:rPr>
          <w:sz w:val="22"/>
        </w:rPr>
        <w:t>We will use starter tenancies (assured shorthold tenancies) to enable new residents to full</w:t>
      </w:r>
      <w:r w:rsidR="007A501E" w:rsidRPr="051187FC">
        <w:rPr>
          <w:sz w:val="22"/>
        </w:rPr>
        <w:t>y</w:t>
      </w:r>
      <w:r w:rsidR="00D043D3" w:rsidRPr="051187FC">
        <w:rPr>
          <w:sz w:val="22"/>
        </w:rPr>
        <w:t xml:space="preserve"> understand their responsibilities and for us to assist them in building a sustainable tenancy. </w:t>
      </w:r>
    </w:p>
    <w:p w14:paraId="62F725CD" w14:textId="03924C29" w:rsidR="00D043D3" w:rsidRDefault="4FA44D36" w:rsidP="051187FC">
      <w:pPr>
        <w:pStyle w:val="Level2"/>
        <w:numPr>
          <w:ilvl w:val="0"/>
          <w:numId w:val="0"/>
        </w:numPr>
        <w:ind w:left="426" w:hanging="710"/>
        <w:rPr>
          <w:sz w:val="22"/>
        </w:rPr>
      </w:pPr>
      <w:r w:rsidRPr="051187FC">
        <w:rPr>
          <w:sz w:val="22"/>
        </w:rPr>
        <w:t xml:space="preserve">6.2     </w:t>
      </w:r>
      <w:r w:rsidR="00D043D3" w:rsidRPr="051187FC">
        <w:rPr>
          <w:sz w:val="22"/>
        </w:rPr>
        <w:t xml:space="preserve">The starter tenancy is for 12 months, and this will normally automatically convert into an assured tenancy if the starter tenancy is conducted satisfactorily. Starter tenancies can be ended before the 12 months where there are breaches of the tenancy. </w:t>
      </w:r>
    </w:p>
    <w:p w14:paraId="4E94DEFE" w14:textId="3DF59AB1" w:rsidR="00D043D3" w:rsidRDefault="0BB2F80D" w:rsidP="051187FC">
      <w:pPr>
        <w:pStyle w:val="Level2"/>
        <w:numPr>
          <w:ilvl w:val="0"/>
          <w:numId w:val="0"/>
        </w:numPr>
        <w:ind w:left="426" w:hanging="710"/>
        <w:rPr>
          <w:sz w:val="22"/>
        </w:rPr>
      </w:pPr>
      <w:r w:rsidRPr="051187FC">
        <w:rPr>
          <w:sz w:val="22"/>
        </w:rPr>
        <w:t xml:space="preserve">6.3     </w:t>
      </w:r>
      <w:r w:rsidR="00D043D3" w:rsidRPr="051187FC">
        <w:rPr>
          <w:sz w:val="22"/>
        </w:rPr>
        <w:t xml:space="preserve">We will give a starter tenancy to all new residents offered housing who have not held a tenancy with a social landlord immediately before moving into the vacant home. </w:t>
      </w:r>
    </w:p>
    <w:p w14:paraId="7EBA7D00" w14:textId="7C04868E" w:rsidR="0039279F" w:rsidRPr="00576443" w:rsidRDefault="69059CEF" w:rsidP="051187FC">
      <w:pPr>
        <w:pStyle w:val="Level2"/>
        <w:numPr>
          <w:ilvl w:val="0"/>
          <w:numId w:val="0"/>
        </w:numPr>
        <w:ind w:left="426" w:hanging="710"/>
        <w:rPr>
          <w:sz w:val="22"/>
        </w:rPr>
      </w:pPr>
      <w:r w:rsidRPr="051187FC">
        <w:rPr>
          <w:sz w:val="22"/>
        </w:rPr>
        <w:t xml:space="preserve">6.4    </w:t>
      </w:r>
      <w:r w:rsidR="00576443" w:rsidRPr="051187FC">
        <w:rPr>
          <w:sz w:val="22"/>
        </w:rPr>
        <w:t xml:space="preserve">Where there are breaches to the tenancy during the 12 months, the tenancy can be extended or failed. Extensions can only be granted for an additional six months from the end of the 12-month period and there is a review process in place for tenancy failures (refer to </w:t>
      </w:r>
      <w:r w:rsidR="003F669E" w:rsidRPr="051187FC">
        <w:rPr>
          <w:sz w:val="22"/>
        </w:rPr>
        <w:t xml:space="preserve">Tenancy </w:t>
      </w:r>
      <w:r w:rsidR="00576443" w:rsidRPr="051187FC">
        <w:rPr>
          <w:sz w:val="22"/>
        </w:rPr>
        <w:t xml:space="preserve">Panel Terms of Reference). Residents with starter tenancies cannot carry out mutual exchanges or apply to move to another of our homes during the period of the starter tenancy. Consideration can be given on a case-by-case basis where it may be appropriate to pass a starter tenancy early to facilitate an urgent move. </w:t>
      </w:r>
    </w:p>
    <w:p w14:paraId="6F26337F" w14:textId="6094787F" w:rsidR="00590BD3" w:rsidRPr="00590BD3" w:rsidRDefault="21729987" w:rsidP="051187FC">
      <w:pPr>
        <w:pStyle w:val="Level1"/>
        <w:keepNext/>
        <w:numPr>
          <w:ilvl w:val="0"/>
          <w:numId w:val="0"/>
        </w:numPr>
        <w:ind w:left="426" w:hanging="710"/>
        <w:rPr>
          <w:rStyle w:val="Level1asheadingtext"/>
          <w:b w:val="0"/>
          <w:sz w:val="22"/>
        </w:rPr>
      </w:pPr>
      <w:r w:rsidRPr="051187FC">
        <w:rPr>
          <w:rStyle w:val="Level1asheadingtext"/>
          <w:sz w:val="22"/>
        </w:rPr>
        <w:t xml:space="preserve">7         </w:t>
      </w:r>
      <w:r w:rsidR="00576443" w:rsidRPr="051187FC">
        <w:rPr>
          <w:rStyle w:val="Level1asheadingtext"/>
          <w:sz w:val="22"/>
        </w:rPr>
        <w:t xml:space="preserve">Fixed-term </w:t>
      </w:r>
      <w:r w:rsidR="002561B1" w:rsidRPr="051187FC">
        <w:rPr>
          <w:rStyle w:val="Level1asheadingtext"/>
          <w:sz w:val="22"/>
        </w:rPr>
        <w:t xml:space="preserve">shorthold </w:t>
      </w:r>
      <w:r w:rsidR="00576443" w:rsidRPr="051187FC">
        <w:rPr>
          <w:rStyle w:val="Level1asheadingtext"/>
          <w:sz w:val="22"/>
        </w:rPr>
        <w:t xml:space="preserve">tenancies </w:t>
      </w:r>
    </w:p>
    <w:p w14:paraId="5F67FEA7" w14:textId="0886D515" w:rsidR="00037DA3" w:rsidRPr="00123016" w:rsidRDefault="2C6FFCFA" w:rsidP="051187FC">
      <w:pPr>
        <w:pStyle w:val="Level2"/>
        <w:numPr>
          <w:ilvl w:val="0"/>
          <w:numId w:val="0"/>
        </w:numPr>
        <w:ind w:left="426" w:hanging="710"/>
        <w:rPr>
          <w:sz w:val="22"/>
        </w:rPr>
      </w:pPr>
      <w:r w:rsidRPr="051187FC">
        <w:rPr>
          <w:sz w:val="22"/>
        </w:rPr>
        <w:t xml:space="preserve">7.1     </w:t>
      </w:r>
      <w:r w:rsidR="00FC2F4B">
        <w:rPr>
          <w:sz w:val="22"/>
        </w:rPr>
        <w:t xml:space="preserve"> </w:t>
      </w:r>
      <w:r w:rsidR="00590BD3" w:rsidRPr="051187FC">
        <w:rPr>
          <w:sz w:val="22"/>
        </w:rPr>
        <w:t xml:space="preserve">We </w:t>
      </w:r>
      <w:r w:rsidR="00037DA3" w:rsidRPr="051187FC">
        <w:rPr>
          <w:sz w:val="22"/>
        </w:rPr>
        <w:t>no</w:t>
      </w:r>
      <w:r w:rsidR="00037DA3" w:rsidRPr="051187FC">
        <w:rPr>
          <w:spacing w:val="-3"/>
          <w:sz w:val="22"/>
        </w:rPr>
        <w:t xml:space="preserve"> </w:t>
      </w:r>
      <w:r w:rsidR="00037DA3" w:rsidRPr="051187FC">
        <w:rPr>
          <w:sz w:val="22"/>
        </w:rPr>
        <w:t>longer</w:t>
      </w:r>
      <w:r w:rsidR="00037DA3" w:rsidRPr="051187FC">
        <w:rPr>
          <w:spacing w:val="-5"/>
          <w:sz w:val="22"/>
        </w:rPr>
        <w:t xml:space="preserve"> </w:t>
      </w:r>
      <w:r w:rsidR="00037DA3" w:rsidRPr="051187FC">
        <w:rPr>
          <w:sz w:val="22"/>
        </w:rPr>
        <w:t>usually</w:t>
      </w:r>
      <w:r w:rsidR="00037DA3" w:rsidRPr="051187FC">
        <w:rPr>
          <w:spacing w:val="-3"/>
          <w:sz w:val="22"/>
        </w:rPr>
        <w:t xml:space="preserve"> </w:t>
      </w:r>
      <w:r w:rsidR="00037DA3" w:rsidRPr="051187FC">
        <w:rPr>
          <w:sz w:val="22"/>
        </w:rPr>
        <w:t>issue</w:t>
      </w:r>
      <w:r w:rsidR="00037DA3" w:rsidRPr="051187FC">
        <w:rPr>
          <w:spacing w:val="-3"/>
          <w:sz w:val="22"/>
        </w:rPr>
        <w:t xml:space="preserve"> </w:t>
      </w:r>
      <w:r w:rsidR="00037DA3" w:rsidRPr="051187FC">
        <w:rPr>
          <w:sz w:val="22"/>
        </w:rPr>
        <w:t>fixed</w:t>
      </w:r>
      <w:r w:rsidR="00037DA3" w:rsidRPr="051187FC">
        <w:rPr>
          <w:spacing w:val="-3"/>
          <w:sz w:val="22"/>
        </w:rPr>
        <w:t xml:space="preserve"> </w:t>
      </w:r>
      <w:r w:rsidR="00037DA3" w:rsidRPr="051187FC">
        <w:rPr>
          <w:sz w:val="22"/>
        </w:rPr>
        <w:t>term</w:t>
      </w:r>
      <w:r w:rsidR="00037DA3" w:rsidRPr="051187FC">
        <w:rPr>
          <w:spacing w:val="-3"/>
          <w:sz w:val="22"/>
        </w:rPr>
        <w:t xml:space="preserve"> </w:t>
      </w:r>
      <w:r w:rsidR="00037DA3" w:rsidRPr="051187FC">
        <w:rPr>
          <w:sz w:val="22"/>
        </w:rPr>
        <w:t>tenancies</w:t>
      </w:r>
      <w:r w:rsidR="00037DA3" w:rsidRPr="051187FC">
        <w:rPr>
          <w:spacing w:val="-3"/>
          <w:sz w:val="22"/>
        </w:rPr>
        <w:t xml:space="preserve"> </w:t>
      </w:r>
      <w:r w:rsidR="00037DA3" w:rsidRPr="051187FC">
        <w:rPr>
          <w:sz w:val="22"/>
        </w:rPr>
        <w:t>to</w:t>
      </w:r>
      <w:r w:rsidR="00037DA3" w:rsidRPr="051187FC">
        <w:rPr>
          <w:spacing w:val="-4"/>
          <w:sz w:val="22"/>
        </w:rPr>
        <w:t xml:space="preserve"> </w:t>
      </w:r>
      <w:r w:rsidR="00037DA3" w:rsidRPr="051187FC">
        <w:rPr>
          <w:sz w:val="22"/>
        </w:rPr>
        <w:t>new</w:t>
      </w:r>
      <w:r w:rsidR="00037DA3" w:rsidRPr="051187FC">
        <w:rPr>
          <w:spacing w:val="-3"/>
          <w:sz w:val="22"/>
        </w:rPr>
        <w:t xml:space="preserve"> </w:t>
      </w:r>
      <w:r w:rsidR="00037DA3" w:rsidRPr="051187FC">
        <w:rPr>
          <w:sz w:val="22"/>
        </w:rPr>
        <w:t>tenants,</w:t>
      </w:r>
      <w:r w:rsidR="00037DA3" w:rsidRPr="051187FC">
        <w:rPr>
          <w:spacing w:val="-5"/>
          <w:sz w:val="22"/>
        </w:rPr>
        <w:t xml:space="preserve"> </w:t>
      </w:r>
      <w:r w:rsidR="00037DA3" w:rsidRPr="051187FC">
        <w:rPr>
          <w:sz w:val="22"/>
        </w:rPr>
        <w:t>but</w:t>
      </w:r>
      <w:r w:rsidR="00037DA3" w:rsidRPr="051187FC">
        <w:rPr>
          <w:spacing w:val="-5"/>
          <w:sz w:val="22"/>
        </w:rPr>
        <w:t xml:space="preserve"> </w:t>
      </w:r>
      <w:r w:rsidR="00037DA3" w:rsidRPr="051187FC">
        <w:rPr>
          <w:sz w:val="22"/>
        </w:rPr>
        <w:t>some</w:t>
      </w:r>
      <w:r w:rsidR="00037DA3" w:rsidRPr="051187FC">
        <w:rPr>
          <w:spacing w:val="-3"/>
          <w:sz w:val="22"/>
        </w:rPr>
        <w:t xml:space="preserve"> </w:t>
      </w:r>
      <w:r w:rsidR="00037DA3" w:rsidRPr="051187FC">
        <w:rPr>
          <w:sz w:val="22"/>
        </w:rPr>
        <w:t>tenants will still have this tenancy type.</w:t>
      </w:r>
    </w:p>
    <w:p w14:paraId="5D02A26D" w14:textId="78A171C2" w:rsidR="00590BD3" w:rsidRPr="00123016" w:rsidRDefault="06F9FC58" w:rsidP="051187FC">
      <w:pPr>
        <w:pStyle w:val="Level2"/>
        <w:numPr>
          <w:ilvl w:val="0"/>
          <w:numId w:val="0"/>
        </w:numPr>
        <w:ind w:left="426" w:hanging="710"/>
        <w:rPr>
          <w:sz w:val="22"/>
        </w:rPr>
      </w:pPr>
      <w:r w:rsidRPr="051187FC">
        <w:rPr>
          <w:sz w:val="22"/>
        </w:rPr>
        <w:t xml:space="preserve">7.2       </w:t>
      </w:r>
      <w:r w:rsidR="00EA15BD" w:rsidRPr="051187FC">
        <w:rPr>
          <w:sz w:val="22"/>
        </w:rPr>
        <w:t>Appendi</w:t>
      </w:r>
      <w:r w:rsidR="5A527365" w:rsidRPr="051187FC">
        <w:rPr>
          <w:sz w:val="22"/>
        </w:rPr>
        <w:t xml:space="preserve">x 1 </w:t>
      </w:r>
      <w:r w:rsidR="00EA15BD" w:rsidRPr="051187FC">
        <w:rPr>
          <w:spacing w:val="-5"/>
          <w:sz w:val="22"/>
        </w:rPr>
        <w:t>sets</w:t>
      </w:r>
      <w:r w:rsidR="00EA15BD" w:rsidRPr="051187FC">
        <w:rPr>
          <w:spacing w:val="-4"/>
          <w:sz w:val="22"/>
        </w:rPr>
        <w:t xml:space="preserve"> out:</w:t>
      </w:r>
      <w:r w:rsidR="00590BD3" w:rsidRPr="051187FC">
        <w:rPr>
          <w:sz w:val="22"/>
        </w:rPr>
        <w:t xml:space="preserve"> </w:t>
      </w:r>
    </w:p>
    <w:p w14:paraId="48AF475F" w14:textId="77777777" w:rsidR="00F26897" w:rsidRDefault="009302DB" w:rsidP="00C12041">
      <w:pPr>
        <w:pStyle w:val="Level2"/>
        <w:numPr>
          <w:ilvl w:val="0"/>
          <w:numId w:val="31"/>
        </w:numPr>
        <w:rPr>
          <w:sz w:val="22"/>
        </w:rPr>
      </w:pPr>
      <w:r>
        <w:rPr>
          <w:sz w:val="22"/>
        </w:rPr>
        <w:t xml:space="preserve">How we will assess these remaining fixed term tenancies </w:t>
      </w:r>
      <w:r w:rsidR="00BE1C4E">
        <w:rPr>
          <w:sz w:val="22"/>
        </w:rPr>
        <w:t>at the end of their fixed term</w:t>
      </w:r>
    </w:p>
    <w:p w14:paraId="090DA75F" w14:textId="7E608C27" w:rsidR="00590BD3" w:rsidRPr="00C12041" w:rsidRDefault="00F26897" w:rsidP="00C12041">
      <w:pPr>
        <w:pStyle w:val="Level2"/>
        <w:numPr>
          <w:ilvl w:val="0"/>
          <w:numId w:val="31"/>
        </w:numPr>
        <w:rPr>
          <w:rStyle w:val="Level1asheadingtext"/>
          <w:b w:val="0"/>
          <w:sz w:val="22"/>
        </w:rPr>
      </w:pPr>
      <w:r>
        <w:rPr>
          <w:sz w:val="22"/>
        </w:rPr>
        <w:t>W</w:t>
      </w:r>
      <w:r w:rsidR="00BE1C4E" w:rsidRPr="00C12041">
        <w:rPr>
          <w:sz w:val="22"/>
        </w:rPr>
        <w:t xml:space="preserve">hen we may offer a new assured </w:t>
      </w:r>
      <w:r w:rsidR="00690846" w:rsidRPr="00C12041">
        <w:rPr>
          <w:sz w:val="22"/>
        </w:rPr>
        <w:t>(</w:t>
      </w:r>
      <w:r w:rsidR="00BE1C4E" w:rsidRPr="00C12041">
        <w:rPr>
          <w:sz w:val="22"/>
        </w:rPr>
        <w:t xml:space="preserve">lifetime) </w:t>
      </w:r>
      <w:r w:rsidR="00690846" w:rsidRPr="00C12041">
        <w:rPr>
          <w:sz w:val="22"/>
        </w:rPr>
        <w:t>tenancy</w:t>
      </w:r>
      <w:r w:rsidR="00BE1C4E" w:rsidRPr="00C12041">
        <w:rPr>
          <w:sz w:val="22"/>
        </w:rPr>
        <w:t xml:space="preserve"> to a </w:t>
      </w:r>
      <w:r w:rsidR="00AC5695" w:rsidRPr="00C12041">
        <w:rPr>
          <w:sz w:val="22"/>
        </w:rPr>
        <w:t>resident</w:t>
      </w:r>
      <w:r w:rsidR="00BE1C4E" w:rsidRPr="00C12041">
        <w:rPr>
          <w:sz w:val="22"/>
        </w:rPr>
        <w:t xml:space="preserve"> </w:t>
      </w:r>
      <w:r w:rsidR="00690846" w:rsidRPr="00C12041">
        <w:rPr>
          <w:sz w:val="22"/>
        </w:rPr>
        <w:t>within their fixed term, before they reach their assessment period.</w:t>
      </w:r>
    </w:p>
    <w:p w14:paraId="1515073F" w14:textId="6717EDE1" w:rsidR="00DF1E86" w:rsidRPr="00690846" w:rsidRDefault="4B4FFE48" w:rsidP="051187FC">
      <w:pPr>
        <w:pStyle w:val="Level1"/>
        <w:keepNext/>
        <w:numPr>
          <w:ilvl w:val="0"/>
          <w:numId w:val="0"/>
        </w:numPr>
        <w:ind w:left="426" w:hanging="710"/>
        <w:rPr>
          <w:rStyle w:val="Level1asheadingtext"/>
          <w:b w:val="0"/>
          <w:sz w:val="22"/>
        </w:rPr>
      </w:pPr>
      <w:r w:rsidRPr="051187FC">
        <w:rPr>
          <w:rStyle w:val="Level1asheadingtext"/>
          <w:sz w:val="22"/>
        </w:rPr>
        <w:t xml:space="preserve">8        </w:t>
      </w:r>
      <w:r w:rsidR="00690846" w:rsidRPr="051187FC">
        <w:rPr>
          <w:rStyle w:val="Level1asheadingtext"/>
          <w:sz w:val="22"/>
        </w:rPr>
        <w:t>Secure tenancies (general needs)</w:t>
      </w:r>
    </w:p>
    <w:p w14:paraId="5AF225C1" w14:textId="7A91E1B5" w:rsidR="00385CE7" w:rsidRDefault="65F74BCA" w:rsidP="051187FC">
      <w:pPr>
        <w:pStyle w:val="Level2"/>
        <w:numPr>
          <w:ilvl w:val="0"/>
          <w:numId w:val="0"/>
        </w:numPr>
        <w:ind w:left="426" w:hanging="710"/>
        <w:rPr>
          <w:sz w:val="22"/>
        </w:rPr>
      </w:pPr>
      <w:r w:rsidRPr="051187FC">
        <w:rPr>
          <w:sz w:val="22"/>
        </w:rPr>
        <w:t xml:space="preserve">8.1    </w:t>
      </w:r>
      <w:r w:rsidR="00FC2F4B">
        <w:rPr>
          <w:sz w:val="22"/>
        </w:rPr>
        <w:t xml:space="preserve">  </w:t>
      </w:r>
      <w:r w:rsidR="00385CE7" w:rsidRPr="051187FC">
        <w:rPr>
          <w:sz w:val="22"/>
        </w:rPr>
        <w:t>Prior to the</w:t>
      </w:r>
      <w:r w:rsidR="00EA448A" w:rsidRPr="051187FC">
        <w:rPr>
          <w:sz w:val="22"/>
        </w:rPr>
        <w:t xml:space="preserve"> introduction of assured tenancies, the standard public sector tenancy type used was the secure tenancy. For </w:t>
      </w:r>
      <w:proofErr w:type="gramStart"/>
      <w:r w:rsidR="00EA448A" w:rsidRPr="051187FC">
        <w:rPr>
          <w:sz w:val="22"/>
        </w:rPr>
        <w:t>the majority of</w:t>
      </w:r>
      <w:proofErr w:type="gramEnd"/>
      <w:r w:rsidR="00EA448A" w:rsidRPr="051187FC">
        <w:rPr>
          <w:sz w:val="22"/>
        </w:rPr>
        <w:t xml:space="preserve"> our </w:t>
      </w:r>
      <w:r w:rsidR="0038725D" w:rsidRPr="051187FC">
        <w:rPr>
          <w:sz w:val="22"/>
        </w:rPr>
        <w:t>residents</w:t>
      </w:r>
      <w:r w:rsidR="00EA448A" w:rsidRPr="051187FC">
        <w:rPr>
          <w:sz w:val="22"/>
        </w:rPr>
        <w:t xml:space="preserve"> who still hold a secure tenancy, their tenancy will have begun before 15 January 1989 </w:t>
      </w:r>
    </w:p>
    <w:p w14:paraId="21C4B38B" w14:textId="498CDA55" w:rsidR="00EA448A" w:rsidRDefault="3792E9CC" w:rsidP="051187FC">
      <w:pPr>
        <w:pStyle w:val="Level2"/>
        <w:numPr>
          <w:ilvl w:val="0"/>
          <w:numId w:val="0"/>
        </w:numPr>
        <w:ind w:left="426" w:hanging="710"/>
        <w:rPr>
          <w:sz w:val="22"/>
        </w:rPr>
      </w:pPr>
      <w:r w:rsidRPr="051187FC">
        <w:rPr>
          <w:sz w:val="22"/>
        </w:rPr>
        <w:t xml:space="preserve">8.2    </w:t>
      </w:r>
      <w:r w:rsidR="00FC2F4B">
        <w:rPr>
          <w:sz w:val="22"/>
        </w:rPr>
        <w:t xml:space="preserve"> </w:t>
      </w:r>
      <w:r w:rsidR="00EA448A" w:rsidRPr="051187FC">
        <w:rPr>
          <w:sz w:val="22"/>
        </w:rPr>
        <w:t xml:space="preserve">Housing </w:t>
      </w:r>
      <w:r w:rsidR="002103C4" w:rsidRPr="051187FC">
        <w:rPr>
          <w:sz w:val="22"/>
        </w:rPr>
        <w:t>associations</w:t>
      </w:r>
      <w:r w:rsidR="00EA448A" w:rsidRPr="051187FC">
        <w:rPr>
          <w:sz w:val="22"/>
        </w:rPr>
        <w:t xml:space="preserve"> are restricted in their </w:t>
      </w:r>
      <w:r w:rsidR="00971738" w:rsidRPr="051187FC">
        <w:rPr>
          <w:sz w:val="22"/>
        </w:rPr>
        <w:t xml:space="preserve">use of secure </w:t>
      </w:r>
      <w:r w:rsidR="002103C4" w:rsidRPr="051187FC">
        <w:rPr>
          <w:sz w:val="22"/>
        </w:rPr>
        <w:t>tenancies</w:t>
      </w:r>
      <w:r w:rsidR="00971738" w:rsidRPr="051187FC">
        <w:rPr>
          <w:sz w:val="22"/>
        </w:rPr>
        <w:t xml:space="preserve">. We will only use secure tenancies in the following circumstances: </w:t>
      </w:r>
    </w:p>
    <w:p w14:paraId="2BC8E078" w14:textId="77777777" w:rsidR="003B6264" w:rsidRDefault="00971738" w:rsidP="003B6264">
      <w:pPr>
        <w:pStyle w:val="Level2"/>
        <w:numPr>
          <w:ilvl w:val="0"/>
          <w:numId w:val="32"/>
        </w:numPr>
        <w:rPr>
          <w:sz w:val="22"/>
        </w:rPr>
      </w:pPr>
      <w:r>
        <w:rPr>
          <w:sz w:val="22"/>
        </w:rPr>
        <w:t xml:space="preserve">When an existing secure tenant transfers to another property within West Kent or changes their tenancy </w:t>
      </w:r>
      <w:r w:rsidR="002103C4">
        <w:rPr>
          <w:sz w:val="22"/>
        </w:rPr>
        <w:t xml:space="preserve">from joint to sole. </w:t>
      </w:r>
    </w:p>
    <w:p w14:paraId="1139C25A" w14:textId="71743117" w:rsidR="003C51DE" w:rsidRDefault="002103C4" w:rsidP="051187FC">
      <w:pPr>
        <w:pStyle w:val="Level2"/>
        <w:rPr>
          <w:rStyle w:val="Level1asheadingtext"/>
          <w:b w:val="0"/>
          <w:sz w:val="22"/>
        </w:rPr>
      </w:pPr>
      <w:r w:rsidRPr="051187FC">
        <w:rPr>
          <w:sz w:val="22"/>
        </w:rPr>
        <w:t>Where a tenancy has been inherited through succession rights (please refer to o</w:t>
      </w:r>
      <w:r w:rsidR="00D041D4" w:rsidRPr="051187FC">
        <w:rPr>
          <w:sz w:val="22"/>
        </w:rPr>
        <w:t>u</w:t>
      </w:r>
      <w:r w:rsidRPr="051187FC">
        <w:rPr>
          <w:sz w:val="22"/>
        </w:rPr>
        <w:t>r Succession Policy).</w:t>
      </w:r>
    </w:p>
    <w:p w14:paraId="5C3B5746" w14:textId="788D5FBC" w:rsidR="003C51DE" w:rsidRDefault="003C51DE" w:rsidP="051187FC">
      <w:pPr>
        <w:pStyle w:val="Level2"/>
        <w:numPr>
          <w:ilvl w:val="0"/>
          <w:numId w:val="0"/>
        </w:numPr>
        <w:ind w:left="1146"/>
        <w:rPr>
          <w:rStyle w:val="Level1asheadingtext"/>
          <w:sz w:val="22"/>
        </w:rPr>
      </w:pPr>
    </w:p>
    <w:p w14:paraId="2F45C0F0" w14:textId="24A422EC" w:rsidR="003C51DE" w:rsidRDefault="42AF3CB7" w:rsidP="051187FC">
      <w:pPr>
        <w:pStyle w:val="Level2"/>
        <w:numPr>
          <w:ilvl w:val="0"/>
          <w:numId w:val="0"/>
        </w:numPr>
        <w:rPr>
          <w:rStyle w:val="Level1asheadingtext"/>
          <w:b w:val="0"/>
          <w:sz w:val="22"/>
        </w:rPr>
      </w:pPr>
      <w:r w:rsidRPr="051187FC">
        <w:rPr>
          <w:rStyle w:val="Level1asheadingtext"/>
          <w:sz w:val="22"/>
        </w:rPr>
        <w:lastRenderedPageBreak/>
        <w:t xml:space="preserve">9        </w:t>
      </w:r>
      <w:r w:rsidR="0B40EE47" w:rsidRPr="051187FC">
        <w:rPr>
          <w:rStyle w:val="Level1asheadingtext"/>
          <w:sz w:val="22"/>
        </w:rPr>
        <w:t xml:space="preserve">Temporary </w:t>
      </w:r>
      <w:r w:rsidR="00410031">
        <w:rPr>
          <w:rStyle w:val="Level1asheadingtext"/>
          <w:sz w:val="22"/>
        </w:rPr>
        <w:t>a</w:t>
      </w:r>
      <w:r w:rsidR="0B40EE47" w:rsidRPr="051187FC">
        <w:rPr>
          <w:rStyle w:val="Level1asheadingtext"/>
          <w:sz w:val="22"/>
        </w:rPr>
        <w:t>ccommodation</w:t>
      </w:r>
      <w:r w:rsidR="002E720E" w:rsidRPr="051187FC">
        <w:rPr>
          <w:rStyle w:val="Level1asheadingtext"/>
          <w:sz w:val="22"/>
        </w:rPr>
        <w:t>,</w:t>
      </w:r>
      <w:r w:rsidR="0B40EE47" w:rsidRPr="051187FC">
        <w:rPr>
          <w:rStyle w:val="Level1asheadingtext"/>
          <w:sz w:val="22"/>
        </w:rPr>
        <w:t xml:space="preserve"> </w:t>
      </w:r>
      <w:r w:rsidR="00410031">
        <w:rPr>
          <w:rStyle w:val="Level1asheadingtext"/>
          <w:sz w:val="22"/>
        </w:rPr>
        <w:t>s</w:t>
      </w:r>
      <w:r w:rsidR="002103C4" w:rsidRPr="051187FC">
        <w:rPr>
          <w:rStyle w:val="Level1asheadingtext"/>
          <w:sz w:val="22"/>
        </w:rPr>
        <w:t xml:space="preserve">upported and specialist housing </w:t>
      </w:r>
    </w:p>
    <w:p w14:paraId="7062C9FC" w14:textId="7CEAD221" w:rsidR="003C51DE" w:rsidRDefault="34524018" w:rsidP="051187FC">
      <w:pPr>
        <w:pStyle w:val="Level2"/>
        <w:numPr>
          <w:ilvl w:val="0"/>
          <w:numId w:val="0"/>
        </w:numPr>
        <w:rPr>
          <w:rStyle w:val="Level1asheadingtext"/>
          <w:b w:val="0"/>
          <w:sz w:val="22"/>
        </w:rPr>
      </w:pPr>
      <w:r>
        <w:t>9.1</w:t>
      </w:r>
      <w:r w:rsidR="003C51DE">
        <w:tab/>
      </w:r>
      <w:r w:rsidR="0098748C">
        <w:t xml:space="preserve">In some accommodation we </w:t>
      </w:r>
      <w:r w:rsidR="0040387F">
        <w:t>will</w:t>
      </w:r>
      <w:r w:rsidR="0098748C">
        <w:t xml:space="preserve"> offer a licence. This tends to be </w:t>
      </w:r>
      <w:r w:rsidR="00DC2B17">
        <w:t xml:space="preserve">for shared accommodation. The type of licence will depend on the </w:t>
      </w:r>
      <w:r w:rsidR="003C51DE">
        <w:t>purpose of</w:t>
      </w:r>
      <w:r w:rsidR="00DC2B17">
        <w:t xml:space="preserve"> the accommodation. As with any other occupancy agreement</w:t>
      </w:r>
      <w:r w:rsidR="003C51DE">
        <w:t xml:space="preserve">, we outline all rights and responsibilities in the licence agreement. </w:t>
      </w:r>
    </w:p>
    <w:p w14:paraId="5378F52D" w14:textId="49B7E028" w:rsidR="003C51DE" w:rsidRDefault="76A48CB5" w:rsidP="051187FC">
      <w:pPr>
        <w:pStyle w:val="Level2"/>
        <w:numPr>
          <w:ilvl w:val="0"/>
          <w:numId w:val="0"/>
        </w:numPr>
        <w:rPr>
          <w:rStyle w:val="Level1asheadingtext"/>
          <w:b w:val="0"/>
          <w:sz w:val="22"/>
        </w:rPr>
      </w:pPr>
      <w:r>
        <w:t xml:space="preserve">9.2    </w:t>
      </w:r>
      <w:r w:rsidR="003C51DE">
        <w:t xml:space="preserve">Licences are </w:t>
      </w:r>
      <w:r w:rsidR="00082EFB">
        <w:t xml:space="preserve">a </w:t>
      </w:r>
      <w:r w:rsidR="003C51DE">
        <w:t>different for</w:t>
      </w:r>
      <w:r w:rsidR="29DF27D0">
        <w:t>m</w:t>
      </w:r>
      <w:r w:rsidR="003C51DE">
        <w:t xml:space="preserve"> of occupation agreement and offer fewer rights to occupiers than tenancies. We use licences in a variety of settings for instance (but not limited) in some hostels and refuges. </w:t>
      </w:r>
    </w:p>
    <w:p w14:paraId="68672BE5" w14:textId="3F103E23" w:rsidR="00634C2D" w:rsidRDefault="4115D32D" w:rsidP="051187FC">
      <w:pPr>
        <w:pStyle w:val="Level2"/>
        <w:numPr>
          <w:ilvl w:val="0"/>
          <w:numId w:val="0"/>
        </w:numPr>
        <w:ind w:left="426" w:hanging="710"/>
        <w:rPr>
          <w:sz w:val="22"/>
        </w:rPr>
      </w:pPr>
      <w:r w:rsidRPr="051187FC">
        <w:rPr>
          <w:sz w:val="22"/>
        </w:rPr>
        <w:t xml:space="preserve">9.3    </w:t>
      </w:r>
      <w:r w:rsidR="00DF581C" w:rsidRPr="051187FC">
        <w:rPr>
          <w:sz w:val="22"/>
        </w:rPr>
        <w:t xml:space="preserve">We </w:t>
      </w:r>
      <w:r w:rsidR="00D8593E" w:rsidRPr="051187FC">
        <w:rPr>
          <w:sz w:val="22"/>
        </w:rPr>
        <w:t xml:space="preserve">only issue </w:t>
      </w:r>
      <w:r w:rsidR="00B02597" w:rsidRPr="051187FC">
        <w:rPr>
          <w:sz w:val="22"/>
        </w:rPr>
        <w:t>excluded licences which excludes the licence from</w:t>
      </w:r>
      <w:r w:rsidR="00756897" w:rsidRPr="051187FC">
        <w:rPr>
          <w:sz w:val="22"/>
        </w:rPr>
        <w:t xml:space="preserve"> the </w:t>
      </w:r>
      <w:hyperlink r:id="rId9">
        <w:r w:rsidR="00756897" w:rsidRPr="051187FC">
          <w:rPr>
            <w:rStyle w:val="Hyperlink"/>
            <w:sz w:val="22"/>
          </w:rPr>
          <w:t>Protection from Eviction Act 1977</w:t>
        </w:r>
      </w:hyperlink>
      <w:r w:rsidR="00756897" w:rsidRPr="051187FC">
        <w:rPr>
          <w:sz w:val="22"/>
        </w:rPr>
        <w:t xml:space="preserve"> </w:t>
      </w:r>
      <w:r w:rsidR="00017C5E" w:rsidRPr="051187FC">
        <w:rPr>
          <w:sz w:val="22"/>
        </w:rPr>
        <w:t xml:space="preserve">meaning </w:t>
      </w:r>
      <w:r w:rsidR="00C14BD2" w:rsidRPr="051187FC">
        <w:rPr>
          <w:sz w:val="22"/>
        </w:rPr>
        <w:t xml:space="preserve">we </w:t>
      </w:r>
      <w:r w:rsidR="001228D3" w:rsidRPr="051187FC">
        <w:rPr>
          <w:sz w:val="22"/>
        </w:rPr>
        <w:t>do not require a court order for the occupant to be evicted.  We</w:t>
      </w:r>
      <w:r w:rsidR="00017C5E" w:rsidRPr="051187FC">
        <w:rPr>
          <w:sz w:val="22"/>
        </w:rPr>
        <w:t>’</w:t>
      </w:r>
      <w:r w:rsidR="001228D3" w:rsidRPr="051187FC">
        <w:rPr>
          <w:sz w:val="22"/>
        </w:rPr>
        <w:t>ll use excluded licences in hostel</w:t>
      </w:r>
      <w:r w:rsidR="00634C2D" w:rsidRPr="051187FC">
        <w:rPr>
          <w:sz w:val="22"/>
        </w:rPr>
        <w:t xml:space="preserve"> accommodation with shared cooking facilities, and where the law otherwise allows.</w:t>
      </w:r>
    </w:p>
    <w:p w14:paraId="4126A9C6" w14:textId="51BFA774" w:rsidR="00DF581C" w:rsidRDefault="6EC5AB60" w:rsidP="051187FC">
      <w:pPr>
        <w:pStyle w:val="Level2"/>
        <w:numPr>
          <w:ilvl w:val="0"/>
          <w:numId w:val="0"/>
        </w:numPr>
        <w:ind w:left="426" w:hanging="710"/>
        <w:rPr>
          <w:sz w:val="22"/>
        </w:rPr>
      </w:pPr>
      <w:r w:rsidRPr="051187FC">
        <w:rPr>
          <w:sz w:val="22"/>
        </w:rPr>
        <w:t xml:space="preserve">9.4     </w:t>
      </w:r>
      <w:r w:rsidR="00634C2D" w:rsidRPr="051187FC">
        <w:rPr>
          <w:sz w:val="22"/>
        </w:rPr>
        <w:t xml:space="preserve">We may have some current residents with a </w:t>
      </w:r>
      <w:r w:rsidR="00C95D9A" w:rsidRPr="051187FC">
        <w:rPr>
          <w:sz w:val="22"/>
        </w:rPr>
        <w:t>N</w:t>
      </w:r>
      <w:r w:rsidR="00E143F7" w:rsidRPr="051187FC">
        <w:rPr>
          <w:sz w:val="22"/>
        </w:rPr>
        <w:t>on excluded</w:t>
      </w:r>
      <w:r w:rsidR="00B06FCB" w:rsidRPr="051187FC">
        <w:rPr>
          <w:sz w:val="22"/>
        </w:rPr>
        <w:t xml:space="preserve"> </w:t>
      </w:r>
      <w:r w:rsidR="00695CFD" w:rsidRPr="051187FC">
        <w:rPr>
          <w:sz w:val="22"/>
        </w:rPr>
        <w:t>licence</w:t>
      </w:r>
      <w:r w:rsidR="00C95D9A" w:rsidRPr="051187FC">
        <w:rPr>
          <w:sz w:val="22"/>
        </w:rPr>
        <w:t xml:space="preserve"> which is covered by the </w:t>
      </w:r>
      <w:hyperlink r:id="rId10">
        <w:r w:rsidR="00B06FCB" w:rsidRPr="051187FC">
          <w:rPr>
            <w:rStyle w:val="Hyperlink"/>
            <w:color w:val="002060" w:themeColor="accent3"/>
            <w:sz w:val="22"/>
          </w:rPr>
          <w:t>Protection from Eviction Act 1977</w:t>
        </w:r>
      </w:hyperlink>
      <w:r w:rsidR="00695CFD" w:rsidRPr="051187FC">
        <w:rPr>
          <w:color w:val="002060" w:themeColor="accent3"/>
          <w:sz w:val="22"/>
        </w:rPr>
        <w:t xml:space="preserve"> </w:t>
      </w:r>
      <w:r w:rsidR="00695CFD" w:rsidRPr="051187FC">
        <w:rPr>
          <w:sz w:val="22"/>
        </w:rPr>
        <w:t>and the occupant can only be evicted by court order.</w:t>
      </w:r>
      <w:r w:rsidR="008707E2" w:rsidRPr="051187FC">
        <w:rPr>
          <w:sz w:val="22"/>
        </w:rPr>
        <w:t xml:space="preserve"> </w:t>
      </w:r>
    </w:p>
    <w:p w14:paraId="18701DAD" w14:textId="1D3573FA" w:rsidR="57BBA38F" w:rsidRDefault="04FD549E" w:rsidP="051187FC">
      <w:pPr>
        <w:pStyle w:val="Level2"/>
        <w:numPr>
          <w:ilvl w:val="0"/>
          <w:numId w:val="0"/>
        </w:numPr>
        <w:ind w:left="426" w:hanging="710"/>
        <w:rPr>
          <w:sz w:val="22"/>
        </w:rPr>
      </w:pPr>
      <w:r w:rsidRPr="051187FC">
        <w:rPr>
          <w:sz w:val="22"/>
        </w:rPr>
        <w:t xml:space="preserve">9.5   </w:t>
      </w:r>
      <w:r w:rsidR="57BBA38F" w:rsidRPr="051187FC">
        <w:rPr>
          <w:sz w:val="22"/>
        </w:rPr>
        <w:t xml:space="preserve">We </w:t>
      </w:r>
      <w:r w:rsidR="24F54E9C" w:rsidRPr="051187FC">
        <w:rPr>
          <w:sz w:val="22"/>
        </w:rPr>
        <w:t>n</w:t>
      </w:r>
      <w:r w:rsidR="57BBA38F" w:rsidRPr="051187FC">
        <w:rPr>
          <w:sz w:val="22"/>
        </w:rPr>
        <w:t xml:space="preserve">o longer issue an AST to residents </w:t>
      </w:r>
      <w:r w:rsidR="6BFAB599" w:rsidRPr="051187FC">
        <w:rPr>
          <w:sz w:val="22"/>
        </w:rPr>
        <w:t>moving into</w:t>
      </w:r>
      <w:r w:rsidR="57BBA38F" w:rsidRPr="051187FC">
        <w:rPr>
          <w:sz w:val="22"/>
        </w:rPr>
        <w:t xml:space="preserve"> </w:t>
      </w:r>
      <w:r w:rsidR="5349DAB3" w:rsidRPr="051187FC">
        <w:rPr>
          <w:sz w:val="22"/>
        </w:rPr>
        <w:t xml:space="preserve">in </w:t>
      </w:r>
      <w:r w:rsidR="57BBA38F" w:rsidRPr="051187FC">
        <w:rPr>
          <w:sz w:val="22"/>
        </w:rPr>
        <w:t xml:space="preserve">temporary accommodation however </w:t>
      </w:r>
      <w:r w:rsidR="5ECDFD23" w:rsidRPr="051187FC">
        <w:rPr>
          <w:sz w:val="22"/>
        </w:rPr>
        <w:t xml:space="preserve">we may still have some residents </w:t>
      </w:r>
      <w:r w:rsidR="6696EA3E" w:rsidRPr="051187FC">
        <w:rPr>
          <w:sz w:val="22"/>
        </w:rPr>
        <w:t xml:space="preserve">currently living in these homes with </w:t>
      </w:r>
      <w:r w:rsidR="5ECDFD23" w:rsidRPr="051187FC">
        <w:rPr>
          <w:sz w:val="22"/>
        </w:rPr>
        <w:t>this type of tenancy</w:t>
      </w:r>
      <w:r w:rsidR="2015A7E4" w:rsidRPr="051187FC">
        <w:rPr>
          <w:sz w:val="22"/>
        </w:rPr>
        <w:t>.</w:t>
      </w:r>
    </w:p>
    <w:p w14:paraId="01E2F1EE" w14:textId="777D2C06" w:rsidR="00C94F1B" w:rsidRPr="007830C8" w:rsidRDefault="44049712" w:rsidP="051187FC">
      <w:pPr>
        <w:pStyle w:val="Level1"/>
        <w:keepNext/>
        <w:numPr>
          <w:ilvl w:val="0"/>
          <w:numId w:val="0"/>
        </w:numPr>
        <w:ind w:left="426" w:hanging="710"/>
        <w:rPr>
          <w:sz w:val="22"/>
        </w:rPr>
      </w:pPr>
      <w:r w:rsidRPr="051187FC">
        <w:rPr>
          <w:rStyle w:val="Level1asheadingtext"/>
          <w:sz w:val="22"/>
        </w:rPr>
        <w:t xml:space="preserve">10       </w:t>
      </w:r>
      <w:r w:rsidR="00A0043A" w:rsidRPr="051187FC">
        <w:rPr>
          <w:rStyle w:val="Level1asheadingtext"/>
          <w:sz w:val="22"/>
        </w:rPr>
        <w:t>Properties use</w:t>
      </w:r>
      <w:r w:rsidR="00AC4B34" w:rsidRPr="051187FC">
        <w:rPr>
          <w:rStyle w:val="Level1asheadingtext"/>
          <w:sz w:val="22"/>
        </w:rPr>
        <w:t>d</w:t>
      </w:r>
      <w:r w:rsidR="00A0043A" w:rsidRPr="051187FC">
        <w:rPr>
          <w:rStyle w:val="Level1asheadingtext"/>
          <w:sz w:val="22"/>
        </w:rPr>
        <w:t xml:space="preserve"> for temporarily decanting tenants</w:t>
      </w:r>
    </w:p>
    <w:p w14:paraId="70A4B98C" w14:textId="03D50EFF" w:rsidR="00C94F1B" w:rsidRDefault="3738DB98" w:rsidP="051187FC">
      <w:pPr>
        <w:pStyle w:val="Level2"/>
        <w:numPr>
          <w:ilvl w:val="0"/>
          <w:numId w:val="0"/>
        </w:numPr>
        <w:ind w:left="426" w:hanging="710"/>
        <w:rPr>
          <w:sz w:val="22"/>
        </w:rPr>
      </w:pPr>
      <w:r w:rsidRPr="051187FC">
        <w:rPr>
          <w:sz w:val="22"/>
        </w:rPr>
        <w:t xml:space="preserve">10.1   </w:t>
      </w:r>
      <w:r w:rsidR="00A0043A" w:rsidRPr="051187FC">
        <w:rPr>
          <w:sz w:val="22"/>
        </w:rPr>
        <w:t xml:space="preserve">If we are required to move a </w:t>
      </w:r>
      <w:r w:rsidR="005405D5" w:rsidRPr="051187FC">
        <w:rPr>
          <w:sz w:val="22"/>
        </w:rPr>
        <w:t>resident</w:t>
      </w:r>
      <w:r w:rsidR="001A62D0" w:rsidRPr="051187FC">
        <w:rPr>
          <w:sz w:val="22"/>
        </w:rPr>
        <w:t xml:space="preserve"> </w:t>
      </w:r>
      <w:r w:rsidR="00A0043A" w:rsidRPr="051187FC">
        <w:rPr>
          <w:sz w:val="22"/>
        </w:rPr>
        <w:t xml:space="preserve">on a temporary basis, we will use a temporary </w:t>
      </w:r>
      <w:r w:rsidR="001A62D0" w:rsidRPr="051187FC">
        <w:rPr>
          <w:sz w:val="22"/>
        </w:rPr>
        <w:t>tenancy</w:t>
      </w:r>
      <w:r w:rsidR="00A0043A" w:rsidRPr="051187FC">
        <w:rPr>
          <w:sz w:val="22"/>
        </w:rPr>
        <w:t xml:space="preserve"> that does not provide any security </w:t>
      </w:r>
      <w:r w:rsidR="001A62D0" w:rsidRPr="051187FC">
        <w:rPr>
          <w:sz w:val="22"/>
        </w:rPr>
        <w:t xml:space="preserve">of tenure. The </w:t>
      </w:r>
      <w:r w:rsidR="005405D5" w:rsidRPr="051187FC">
        <w:rPr>
          <w:sz w:val="22"/>
        </w:rPr>
        <w:t xml:space="preserve">resident </w:t>
      </w:r>
      <w:r w:rsidR="001A62D0" w:rsidRPr="051187FC">
        <w:rPr>
          <w:sz w:val="22"/>
        </w:rPr>
        <w:t xml:space="preserve">will retain their main </w:t>
      </w:r>
      <w:proofErr w:type="gramStart"/>
      <w:r w:rsidR="001A62D0" w:rsidRPr="051187FC">
        <w:rPr>
          <w:sz w:val="22"/>
        </w:rPr>
        <w:t>tenancy</w:t>
      </w:r>
      <w:proofErr w:type="gramEnd"/>
      <w:r w:rsidR="001A62D0" w:rsidRPr="051187FC">
        <w:rPr>
          <w:sz w:val="22"/>
        </w:rPr>
        <w:t xml:space="preserve"> and we’ll charge rent at their principle address</w:t>
      </w:r>
      <w:r w:rsidR="00F91D81" w:rsidRPr="051187FC">
        <w:rPr>
          <w:sz w:val="22"/>
        </w:rPr>
        <w:t xml:space="preserve"> (please refer to our Decant Policy).</w:t>
      </w:r>
    </w:p>
    <w:p w14:paraId="345D8E94" w14:textId="4D60DFD3" w:rsidR="00AC4B34" w:rsidRPr="00C15F52" w:rsidRDefault="01ABBFC1" w:rsidP="051187FC">
      <w:pPr>
        <w:pStyle w:val="Level1"/>
        <w:keepNext/>
        <w:numPr>
          <w:ilvl w:val="0"/>
          <w:numId w:val="0"/>
        </w:numPr>
        <w:ind w:left="-284"/>
        <w:rPr>
          <w:sz w:val="22"/>
        </w:rPr>
      </w:pPr>
      <w:r w:rsidRPr="051187FC">
        <w:rPr>
          <w:rStyle w:val="Level1asheadingtext"/>
          <w:sz w:val="22"/>
        </w:rPr>
        <w:t xml:space="preserve">11        </w:t>
      </w:r>
      <w:r w:rsidR="00AC4B34" w:rsidRPr="051187FC">
        <w:rPr>
          <w:rStyle w:val="Level1asheadingtext"/>
          <w:sz w:val="22"/>
        </w:rPr>
        <w:t>Minors (Under 18s)</w:t>
      </w:r>
    </w:p>
    <w:p w14:paraId="5B7B418D" w14:textId="78CC7E4A" w:rsidR="00CC206B" w:rsidRPr="00C15F52" w:rsidRDefault="051FC2D5" w:rsidP="051187FC">
      <w:pPr>
        <w:pStyle w:val="Level2"/>
        <w:numPr>
          <w:ilvl w:val="0"/>
          <w:numId w:val="0"/>
        </w:numPr>
        <w:ind w:left="426" w:hanging="710"/>
        <w:rPr>
          <w:sz w:val="22"/>
        </w:rPr>
      </w:pPr>
      <w:proofErr w:type="gramStart"/>
      <w:r w:rsidRPr="051187FC">
        <w:rPr>
          <w:sz w:val="22"/>
        </w:rPr>
        <w:t xml:space="preserve">11.1  </w:t>
      </w:r>
      <w:r w:rsidR="00CC206B" w:rsidRPr="051187FC">
        <w:rPr>
          <w:sz w:val="22"/>
        </w:rPr>
        <w:t>Under</w:t>
      </w:r>
      <w:proofErr w:type="gramEnd"/>
      <w:r w:rsidR="00CC206B" w:rsidRPr="051187FC">
        <w:rPr>
          <w:sz w:val="22"/>
        </w:rPr>
        <w:t xml:space="preserve"> 18s cannot legally hold interest in land. We may provide accommodation by granting a licence (personal permission to occupy premises) or an Agreement for Tenancy</w:t>
      </w:r>
      <w:r w:rsidR="00E1224F" w:rsidRPr="051187FC">
        <w:rPr>
          <w:sz w:val="22"/>
        </w:rPr>
        <w:t xml:space="preserve"> (best interest tenancy)</w:t>
      </w:r>
      <w:r w:rsidR="00CC206B" w:rsidRPr="051187FC">
        <w:rPr>
          <w:sz w:val="22"/>
        </w:rPr>
        <w:t>. A full tenancy can then be granted to the minor when they turn 18.</w:t>
      </w:r>
    </w:p>
    <w:p w14:paraId="525B1880" w14:textId="4DCE6EBA" w:rsidR="00F779C4" w:rsidRPr="007830C8" w:rsidRDefault="5CC0A170" w:rsidP="051187FC">
      <w:pPr>
        <w:pStyle w:val="Level1"/>
        <w:keepNext/>
        <w:numPr>
          <w:ilvl w:val="0"/>
          <w:numId w:val="0"/>
        </w:numPr>
        <w:ind w:left="426" w:hanging="710"/>
        <w:rPr>
          <w:sz w:val="22"/>
        </w:rPr>
      </w:pPr>
      <w:r w:rsidRPr="051187FC">
        <w:rPr>
          <w:rStyle w:val="Level1asheadingtext"/>
          <w:sz w:val="22"/>
        </w:rPr>
        <w:t xml:space="preserve">12        </w:t>
      </w:r>
      <w:r w:rsidR="00F779C4" w:rsidRPr="051187FC">
        <w:rPr>
          <w:rStyle w:val="Level1asheadingtext"/>
          <w:sz w:val="22"/>
        </w:rPr>
        <w:t>Non-residential units</w:t>
      </w:r>
    </w:p>
    <w:p w14:paraId="369F732C" w14:textId="133671AF" w:rsidR="00F779C4" w:rsidRDefault="72AB0934" w:rsidP="051187FC">
      <w:pPr>
        <w:pStyle w:val="Level2"/>
        <w:numPr>
          <w:ilvl w:val="0"/>
          <w:numId w:val="0"/>
        </w:numPr>
        <w:ind w:left="426" w:hanging="710"/>
        <w:rPr>
          <w:sz w:val="22"/>
        </w:rPr>
      </w:pPr>
      <w:r w:rsidRPr="051187FC">
        <w:rPr>
          <w:sz w:val="22"/>
        </w:rPr>
        <w:t xml:space="preserve">12.1   </w:t>
      </w:r>
      <w:r w:rsidR="00F779C4" w:rsidRPr="051187FC">
        <w:rPr>
          <w:sz w:val="22"/>
        </w:rPr>
        <w:t xml:space="preserve">For non-residential units such as garages, parking </w:t>
      </w:r>
      <w:r w:rsidR="00D850B1" w:rsidRPr="051187FC">
        <w:rPr>
          <w:sz w:val="22"/>
        </w:rPr>
        <w:t>spaces</w:t>
      </w:r>
      <w:r w:rsidR="00F779C4" w:rsidRPr="051187FC">
        <w:rPr>
          <w:sz w:val="22"/>
        </w:rPr>
        <w:t xml:space="preserve"> and sheds, we will use a </w:t>
      </w:r>
      <w:r w:rsidR="00D850B1" w:rsidRPr="051187FC">
        <w:rPr>
          <w:sz w:val="22"/>
        </w:rPr>
        <w:t xml:space="preserve">licence agreement to allow occupation without any security of tenure. </w:t>
      </w:r>
    </w:p>
    <w:p w14:paraId="4BF1B1CB" w14:textId="6067771A" w:rsidR="00B85F0E" w:rsidRPr="007830C8" w:rsidRDefault="064BBAC5" w:rsidP="051187FC">
      <w:pPr>
        <w:pStyle w:val="Level1"/>
        <w:keepNext/>
        <w:numPr>
          <w:ilvl w:val="0"/>
          <w:numId w:val="0"/>
        </w:numPr>
        <w:ind w:left="-284"/>
        <w:rPr>
          <w:sz w:val="22"/>
        </w:rPr>
      </w:pPr>
      <w:r w:rsidRPr="051187FC">
        <w:rPr>
          <w:rStyle w:val="Level1asheadingtext"/>
          <w:sz w:val="22"/>
        </w:rPr>
        <w:t xml:space="preserve">13        </w:t>
      </w:r>
      <w:r w:rsidR="00B85F0E" w:rsidRPr="051187FC">
        <w:rPr>
          <w:rStyle w:val="Level1asheadingtext"/>
          <w:sz w:val="22"/>
        </w:rPr>
        <w:t xml:space="preserve">Joint tenancies </w:t>
      </w:r>
    </w:p>
    <w:p w14:paraId="21C5BE3C" w14:textId="49CC0EBA" w:rsidR="00E62BF9" w:rsidRDefault="16595627" w:rsidP="051187FC">
      <w:pPr>
        <w:pStyle w:val="Level2"/>
        <w:numPr>
          <w:ilvl w:val="0"/>
          <w:numId w:val="0"/>
        </w:numPr>
        <w:ind w:left="426" w:hanging="710"/>
        <w:rPr>
          <w:sz w:val="22"/>
        </w:rPr>
      </w:pPr>
      <w:r w:rsidRPr="051187FC">
        <w:rPr>
          <w:sz w:val="22"/>
        </w:rPr>
        <w:t xml:space="preserve">13.1    </w:t>
      </w:r>
      <w:r w:rsidR="00B85F0E" w:rsidRPr="051187FC">
        <w:rPr>
          <w:sz w:val="22"/>
        </w:rPr>
        <w:t xml:space="preserve">A joint tenancy is where two or more people </w:t>
      </w:r>
      <w:r w:rsidR="00E62BF9" w:rsidRPr="051187FC">
        <w:rPr>
          <w:sz w:val="22"/>
        </w:rPr>
        <w:t xml:space="preserve">(legally up to four) have signed the tenancy agreement. </w:t>
      </w:r>
    </w:p>
    <w:p w14:paraId="640B2DEE" w14:textId="3754C100" w:rsidR="00E62BF9" w:rsidRDefault="61F6BF3A" w:rsidP="051187FC">
      <w:pPr>
        <w:pStyle w:val="Level2"/>
        <w:numPr>
          <w:ilvl w:val="0"/>
          <w:numId w:val="0"/>
        </w:numPr>
        <w:ind w:left="426" w:hanging="710"/>
        <w:rPr>
          <w:sz w:val="22"/>
        </w:rPr>
      </w:pPr>
      <w:r w:rsidRPr="051187FC">
        <w:rPr>
          <w:sz w:val="22"/>
        </w:rPr>
        <w:t xml:space="preserve">13.2    </w:t>
      </w:r>
      <w:r w:rsidR="00E62BF9" w:rsidRPr="051187FC">
        <w:rPr>
          <w:sz w:val="22"/>
        </w:rPr>
        <w:t>With joint</w:t>
      </w:r>
      <w:r w:rsidR="00E91D16" w:rsidRPr="051187FC">
        <w:rPr>
          <w:sz w:val="22"/>
        </w:rPr>
        <w:t xml:space="preserve"> </w:t>
      </w:r>
      <w:r w:rsidR="00E62BF9" w:rsidRPr="051187FC">
        <w:rPr>
          <w:sz w:val="22"/>
        </w:rPr>
        <w:t>tenants:</w:t>
      </w:r>
    </w:p>
    <w:p w14:paraId="065903DB" w14:textId="3EFB6639" w:rsidR="00E62BF9" w:rsidRDefault="00E62BF9" w:rsidP="00995397">
      <w:pPr>
        <w:pStyle w:val="Level2"/>
        <w:numPr>
          <w:ilvl w:val="0"/>
          <w:numId w:val="35"/>
        </w:numPr>
        <w:rPr>
          <w:sz w:val="22"/>
        </w:rPr>
      </w:pPr>
      <w:r>
        <w:rPr>
          <w:sz w:val="22"/>
        </w:rPr>
        <w:t>Each tenant has the right to occupy the</w:t>
      </w:r>
      <w:r w:rsidR="00E91D16">
        <w:rPr>
          <w:sz w:val="22"/>
        </w:rPr>
        <w:t xml:space="preserve"> </w:t>
      </w:r>
      <w:r>
        <w:rPr>
          <w:sz w:val="22"/>
        </w:rPr>
        <w:t xml:space="preserve">property </w:t>
      </w:r>
    </w:p>
    <w:p w14:paraId="3AB79072" w14:textId="575DA7CE" w:rsidR="00B85F0E" w:rsidRDefault="00E62BF9" w:rsidP="00995397">
      <w:pPr>
        <w:pStyle w:val="Level2"/>
        <w:numPr>
          <w:ilvl w:val="0"/>
          <w:numId w:val="35"/>
        </w:numPr>
        <w:rPr>
          <w:sz w:val="22"/>
        </w:rPr>
      </w:pPr>
      <w:r>
        <w:rPr>
          <w:sz w:val="22"/>
        </w:rPr>
        <w:t>A tenant cannot exclude the other tenant(</w:t>
      </w:r>
      <w:r w:rsidR="005152C4">
        <w:rPr>
          <w:sz w:val="22"/>
        </w:rPr>
        <w:t>s), unless they get an Occupation Order under the</w:t>
      </w:r>
      <w:hyperlink r:id="rId11" w:history="1">
        <w:r w:rsidR="005152C4" w:rsidRPr="00E91D16">
          <w:rPr>
            <w:rStyle w:val="Hyperlink"/>
            <w:sz w:val="22"/>
          </w:rPr>
          <w:t xml:space="preserve"> Family La</w:t>
        </w:r>
        <w:r w:rsidR="00E91D16" w:rsidRPr="00E91D16">
          <w:rPr>
            <w:rStyle w:val="Hyperlink"/>
            <w:sz w:val="22"/>
          </w:rPr>
          <w:t>w</w:t>
        </w:r>
        <w:r w:rsidR="005152C4" w:rsidRPr="00E91D16">
          <w:rPr>
            <w:rStyle w:val="Hyperlink"/>
            <w:sz w:val="22"/>
          </w:rPr>
          <w:t xml:space="preserve"> Act 1996</w:t>
        </w:r>
        <w:r w:rsidR="00B85F0E" w:rsidRPr="00E91D16">
          <w:rPr>
            <w:rStyle w:val="Hyperlink"/>
            <w:sz w:val="22"/>
          </w:rPr>
          <w:t xml:space="preserve"> </w:t>
        </w:r>
      </w:hyperlink>
    </w:p>
    <w:p w14:paraId="2B874905" w14:textId="1844874E" w:rsidR="00644375" w:rsidRDefault="00644375" w:rsidP="00995397">
      <w:pPr>
        <w:pStyle w:val="Level2"/>
        <w:numPr>
          <w:ilvl w:val="0"/>
          <w:numId w:val="35"/>
        </w:numPr>
        <w:rPr>
          <w:sz w:val="22"/>
        </w:rPr>
      </w:pPr>
      <w:r>
        <w:rPr>
          <w:sz w:val="22"/>
        </w:rPr>
        <w:lastRenderedPageBreak/>
        <w:t xml:space="preserve">Each tenant is jointly and severally (individually) liable for the tenancy and the rent – this means all are responsible for the whole tenancy. </w:t>
      </w:r>
    </w:p>
    <w:p w14:paraId="3EE2E089" w14:textId="27595BC8" w:rsidR="00324247" w:rsidRDefault="00644375" w:rsidP="00995397">
      <w:pPr>
        <w:pStyle w:val="Level2"/>
        <w:numPr>
          <w:ilvl w:val="0"/>
          <w:numId w:val="35"/>
        </w:numPr>
        <w:rPr>
          <w:sz w:val="22"/>
        </w:rPr>
      </w:pPr>
      <w:r>
        <w:rPr>
          <w:sz w:val="22"/>
        </w:rPr>
        <w:t>One tenant can end the tenancy by serving a valid notice to quit (unless the tenancy is within a fixed term)</w:t>
      </w:r>
    </w:p>
    <w:p w14:paraId="5B020B0A" w14:textId="72175E4B" w:rsidR="004F7B06" w:rsidRDefault="4BB82365" w:rsidP="051187FC">
      <w:pPr>
        <w:pStyle w:val="Level2"/>
        <w:numPr>
          <w:ilvl w:val="0"/>
          <w:numId w:val="0"/>
        </w:numPr>
        <w:ind w:left="426" w:hanging="710"/>
        <w:rPr>
          <w:sz w:val="22"/>
        </w:rPr>
      </w:pPr>
      <w:r w:rsidRPr="051187FC">
        <w:rPr>
          <w:sz w:val="22"/>
        </w:rPr>
        <w:t xml:space="preserve">13.3   </w:t>
      </w:r>
      <w:r w:rsidR="00324247" w:rsidRPr="051187FC">
        <w:rPr>
          <w:sz w:val="22"/>
        </w:rPr>
        <w:t>We will grant</w:t>
      </w:r>
      <w:r w:rsidR="0064701D" w:rsidRPr="051187FC">
        <w:rPr>
          <w:sz w:val="22"/>
        </w:rPr>
        <w:t xml:space="preserve"> a joint tenancy to new tenants where the nomination, referral, or direct application is made by a couple, and they meet our eligibility criteria</w:t>
      </w:r>
      <w:r w:rsidR="004F7B06" w:rsidRPr="051187FC">
        <w:rPr>
          <w:sz w:val="22"/>
        </w:rPr>
        <w:t>.</w:t>
      </w:r>
    </w:p>
    <w:p w14:paraId="784669B5" w14:textId="32F25CF9" w:rsidR="00247B86" w:rsidRDefault="67E5CB7A" w:rsidP="051187FC">
      <w:pPr>
        <w:pStyle w:val="Level2"/>
        <w:numPr>
          <w:ilvl w:val="0"/>
          <w:numId w:val="0"/>
        </w:numPr>
        <w:ind w:left="426" w:hanging="710"/>
        <w:rPr>
          <w:sz w:val="22"/>
        </w:rPr>
      </w:pPr>
      <w:r w:rsidRPr="051187FC">
        <w:rPr>
          <w:sz w:val="22"/>
        </w:rPr>
        <w:t xml:space="preserve">13.4    </w:t>
      </w:r>
      <w:r w:rsidR="004F7B06" w:rsidRPr="051187FC">
        <w:rPr>
          <w:sz w:val="22"/>
        </w:rPr>
        <w:t xml:space="preserve">We will not grant joint tenancies to family members other than partners, civil partners, or spouses, unless exceptional circumstances apply. </w:t>
      </w:r>
    </w:p>
    <w:p w14:paraId="4E34C2E5" w14:textId="6A16D688" w:rsidR="00247B86" w:rsidRDefault="0C393D2B" w:rsidP="051187FC">
      <w:pPr>
        <w:pStyle w:val="Level2"/>
        <w:numPr>
          <w:ilvl w:val="0"/>
          <w:numId w:val="0"/>
        </w:numPr>
        <w:ind w:left="426" w:hanging="710"/>
        <w:rPr>
          <w:sz w:val="22"/>
        </w:rPr>
      </w:pPr>
      <w:r w:rsidRPr="051187FC">
        <w:rPr>
          <w:sz w:val="22"/>
        </w:rPr>
        <w:t xml:space="preserve">13.5    </w:t>
      </w:r>
      <w:r w:rsidR="00247B86" w:rsidRPr="051187FC">
        <w:rPr>
          <w:sz w:val="22"/>
        </w:rPr>
        <w:t xml:space="preserve">Where a sole tenant </w:t>
      </w:r>
      <w:r w:rsidR="00625D91" w:rsidRPr="051187FC">
        <w:rPr>
          <w:sz w:val="22"/>
        </w:rPr>
        <w:t>asks</w:t>
      </w:r>
      <w:r w:rsidR="00247B86" w:rsidRPr="051187FC">
        <w:rPr>
          <w:sz w:val="22"/>
        </w:rPr>
        <w:t xml:space="preserve"> to add a joint tenant to their </w:t>
      </w:r>
      <w:proofErr w:type="gramStart"/>
      <w:r w:rsidR="00247B86" w:rsidRPr="051187FC">
        <w:rPr>
          <w:sz w:val="22"/>
        </w:rPr>
        <w:t>tenancy</w:t>
      </w:r>
      <w:proofErr w:type="gramEnd"/>
      <w:r w:rsidR="00247B86" w:rsidRPr="051187FC">
        <w:rPr>
          <w:sz w:val="22"/>
        </w:rPr>
        <w:t xml:space="preserve"> we’ll consider the request based on the individual circumstances. You do not have a right to a new joint </w:t>
      </w:r>
      <w:proofErr w:type="gramStart"/>
      <w:r w:rsidR="00247B86" w:rsidRPr="051187FC">
        <w:rPr>
          <w:sz w:val="22"/>
        </w:rPr>
        <w:t>tenancy</w:t>
      </w:r>
      <w:proofErr w:type="gramEnd"/>
      <w:r w:rsidR="00020AE0" w:rsidRPr="051187FC">
        <w:rPr>
          <w:sz w:val="22"/>
        </w:rPr>
        <w:t xml:space="preserve"> and we will only grant these in exceptional circumstances</w:t>
      </w:r>
      <w:r w:rsidR="00247B86" w:rsidRPr="051187FC">
        <w:rPr>
          <w:sz w:val="22"/>
        </w:rPr>
        <w:t xml:space="preserve">. Examples </w:t>
      </w:r>
      <w:r w:rsidR="00625D91" w:rsidRPr="051187FC">
        <w:rPr>
          <w:sz w:val="22"/>
        </w:rPr>
        <w:t>of</w:t>
      </w:r>
      <w:r w:rsidR="00247B86" w:rsidRPr="051187FC">
        <w:rPr>
          <w:sz w:val="22"/>
        </w:rPr>
        <w:t xml:space="preserve"> the factors we may </w:t>
      </w:r>
      <w:proofErr w:type="gramStart"/>
      <w:r w:rsidR="00247B86" w:rsidRPr="051187FC">
        <w:rPr>
          <w:sz w:val="22"/>
        </w:rPr>
        <w:t>take into account</w:t>
      </w:r>
      <w:proofErr w:type="gramEnd"/>
      <w:r w:rsidR="00247B86" w:rsidRPr="051187FC">
        <w:rPr>
          <w:sz w:val="22"/>
        </w:rPr>
        <w:t xml:space="preserve"> when making our decision may include, but will not be limited to:</w:t>
      </w:r>
    </w:p>
    <w:p w14:paraId="33E398B9" w14:textId="77777777" w:rsidR="00DB1544" w:rsidRDefault="00DB1544" w:rsidP="00995397">
      <w:pPr>
        <w:pStyle w:val="Level2"/>
        <w:numPr>
          <w:ilvl w:val="0"/>
          <w:numId w:val="34"/>
        </w:numPr>
        <w:rPr>
          <w:sz w:val="22"/>
        </w:rPr>
      </w:pPr>
      <w:r>
        <w:rPr>
          <w:sz w:val="22"/>
        </w:rPr>
        <w:t>The type of tenancy agreement you have</w:t>
      </w:r>
    </w:p>
    <w:p w14:paraId="0FA7C914" w14:textId="77777777" w:rsidR="00DB1544" w:rsidRDefault="00DB1544" w:rsidP="00995397">
      <w:pPr>
        <w:pStyle w:val="Level2"/>
        <w:numPr>
          <w:ilvl w:val="0"/>
          <w:numId w:val="34"/>
        </w:numPr>
        <w:rPr>
          <w:sz w:val="22"/>
        </w:rPr>
      </w:pPr>
      <w:r>
        <w:rPr>
          <w:sz w:val="22"/>
        </w:rPr>
        <w:t>Our eligibility criteria</w:t>
      </w:r>
    </w:p>
    <w:p w14:paraId="15DB0891" w14:textId="77777777" w:rsidR="00DB1544" w:rsidRDefault="00DB1544" w:rsidP="00995397">
      <w:pPr>
        <w:pStyle w:val="Level2"/>
        <w:numPr>
          <w:ilvl w:val="0"/>
          <w:numId w:val="34"/>
        </w:numPr>
        <w:rPr>
          <w:sz w:val="22"/>
        </w:rPr>
      </w:pPr>
      <w:r>
        <w:rPr>
          <w:sz w:val="22"/>
        </w:rPr>
        <w:t xml:space="preserve">Whether there has been a previous succession </w:t>
      </w:r>
    </w:p>
    <w:p w14:paraId="14B93343" w14:textId="731098D2" w:rsidR="00324247" w:rsidRDefault="00DB1544" w:rsidP="00995397">
      <w:pPr>
        <w:pStyle w:val="Level2"/>
        <w:numPr>
          <w:ilvl w:val="0"/>
          <w:numId w:val="34"/>
        </w:numPr>
        <w:rPr>
          <w:sz w:val="22"/>
        </w:rPr>
      </w:pPr>
      <w:r>
        <w:rPr>
          <w:sz w:val="22"/>
        </w:rPr>
        <w:t>Any tenancy breaches or tenancy management concerns</w:t>
      </w:r>
      <w:r w:rsidR="00324247">
        <w:rPr>
          <w:sz w:val="22"/>
        </w:rPr>
        <w:t xml:space="preserve"> </w:t>
      </w:r>
    </w:p>
    <w:p w14:paraId="6424A902" w14:textId="24B97011" w:rsidR="00625D91" w:rsidRDefault="703DD827" w:rsidP="051187FC">
      <w:pPr>
        <w:pStyle w:val="Level2"/>
        <w:numPr>
          <w:ilvl w:val="0"/>
          <w:numId w:val="0"/>
        </w:numPr>
        <w:ind w:left="426" w:hanging="710"/>
        <w:rPr>
          <w:sz w:val="22"/>
        </w:rPr>
      </w:pPr>
      <w:r w:rsidRPr="051187FC">
        <w:rPr>
          <w:sz w:val="22"/>
        </w:rPr>
        <w:t xml:space="preserve">13.6   </w:t>
      </w:r>
      <w:r w:rsidR="00FC2F4B">
        <w:rPr>
          <w:sz w:val="22"/>
        </w:rPr>
        <w:t xml:space="preserve">  </w:t>
      </w:r>
      <w:r w:rsidR="00625D91" w:rsidRPr="051187FC">
        <w:rPr>
          <w:sz w:val="22"/>
        </w:rPr>
        <w:t>Where a joint tenant requests to be removed from the tenancy, we will consider this based on your statutory rights and any rights set out in your tenant agreement. Rights will vary depending on the type of tenancy agreement you have.</w:t>
      </w:r>
    </w:p>
    <w:p w14:paraId="0E958443" w14:textId="790CFD49" w:rsidR="00AC4B34" w:rsidRDefault="7CDC7273" w:rsidP="051187FC">
      <w:pPr>
        <w:pStyle w:val="Level2"/>
        <w:numPr>
          <w:ilvl w:val="0"/>
          <w:numId w:val="0"/>
        </w:numPr>
        <w:ind w:left="426" w:hanging="710"/>
        <w:rPr>
          <w:sz w:val="22"/>
        </w:rPr>
      </w:pPr>
      <w:r w:rsidRPr="051187FC">
        <w:rPr>
          <w:sz w:val="22"/>
        </w:rPr>
        <w:t xml:space="preserve">13.7   </w:t>
      </w:r>
      <w:r w:rsidR="00FC2F4B">
        <w:rPr>
          <w:sz w:val="22"/>
        </w:rPr>
        <w:t xml:space="preserve"> </w:t>
      </w:r>
      <w:r w:rsidR="00625D91" w:rsidRPr="051187FC">
        <w:rPr>
          <w:sz w:val="22"/>
        </w:rPr>
        <w:t>In cases of domestic abuse where one tenant ends the tenancy we may offer the tenancy to the remaining tenant, provided the</w:t>
      </w:r>
      <w:r w:rsidR="00E96A39" w:rsidRPr="051187FC">
        <w:rPr>
          <w:sz w:val="22"/>
        </w:rPr>
        <w:t>y</w:t>
      </w:r>
      <w:r w:rsidR="00625D91" w:rsidRPr="051187FC">
        <w:rPr>
          <w:sz w:val="22"/>
        </w:rPr>
        <w:t xml:space="preserve"> are eligible for our homes. They must require the size and type of accommodation.  </w:t>
      </w:r>
    </w:p>
    <w:p w14:paraId="471F10D9" w14:textId="77B66741" w:rsidR="00625D91" w:rsidRPr="00625D91" w:rsidRDefault="1AFD4748" w:rsidP="051187FC">
      <w:pPr>
        <w:pStyle w:val="Level1"/>
        <w:keepNext/>
        <w:numPr>
          <w:ilvl w:val="0"/>
          <w:numId w:val="0"/>
        </w:numPr>
        <w:ind w:left="426" w:hanging="710"/>
        <w:rPr>
          <w:rStyle w:val="Level1asheadingtext"/>
          <w:b w:val="0"/>
          <w:sz w:val="22"/>
        </w:rPr>
      </w:pPr>
      <w:r w:rsidRPr="051187FC">
        <w:rPr>
          <w:rStyle w:val="Level1asheadingtext"/>
          <w:sz w:val="22"/>
        </w:rPr>
        <w:t xml:space="preserve">14        </w:t>
      </w:r>
      <w:r w:rsidR="00625D91" w:rsidRPr="051187FC">
        <w:rPr>
          <w:rStyle w:val="Level1asheadingtext"/>
          <w:sz w:val="22"/>
        </w:rPr>
        <w:t xml:space="preserve">Assignment </w:t>
      </w:r>
    </w:p>
    <w:p w14:paraId="661BBA26" w14:textId="35846728" w:rsidR="00625D91" w:rsidRDefault="5B4FB4CD" w:rsidP="051187FC">
      <w:pPr>
        <w:pStyle w:val="Level2"/>
        <w:numPr>
          <w:ilvl w:val="0"/>
          <w:numId w:val="0"/>
        </w:numPr>
        <w:ind w:left="426" w:hanging="710"/>
        <w:rPr>
          <w:sz w:val="22"/>
        </w:rPr>
      </w:pPr>
      <w:r w:rsidRPr="051187FC">
        <w:rPr>
          <w:sz w:val="22"/>
        </w:rPr>
        <w:t xml:space="preserve">14.1     </w:t>
      </w:r>
      <w:r w:rsidR="00350A8F" w:rsidRPr="051187FC">
        <w:rPr>
          <w:sz w:val="22"/>
        </w:rPr>
        <w:t>Assignment</w:t>
      </w:r>
      <w:r w:rsidR="00625D91" w:rsidRPr="051187FC">
        <w:rPr>
          <w:sz w:val="22"/>
        </w:rPr>
        <w:t xml:space="preserve"> is the legal transfer of a tenancy. You can assign your tenancy i</w:t>
      </w:r>
      <w:r w:rsidR="00E96A39" w:rsidRPr="051187FC">
        <w:rPr>
          <w:sz w:val="22"/>
        </w:rPr>
        <w:t>f</w:t>
      </w:r>
      <w:r w:rsidR="00625D91" w:rsidRPr="051187FC">
        <w:rPr>
          <w:sz w:val="22"/>
        </w:rPr>
        <w:t>:</w:t>
      </w:r>
    </w:p>
    <w:p w14:paraId="114D1C8A" w14:textId="44C5929E" w:rsidR="00625D91" w:rsidRDefault="00625D91" w:rsidP="00995397">
      <w:pPr>
        <w:pStyle w:val="Level2"/>
        <w:numPr>
          <w:ilvl w:val="0"/>
          <w:numId w:val="33"/>
        </w:numPr>
        <w:rPr>
          <w:sz w:val="22"/>
        </w:rPr>
      </w:pPr>
      <w:r>
        <w:rPr>
          <w:sz w:val="22"/>
        </w:rPr>
        <w:t xml:space="preserve">The law says you can – a statutory or legal </w:t>
      </w:r>
      <w:r w:rsidR="00350A8F">
        <w:rPr>
          <w:sz w:val="22"/>
        </w:rPr>
        <w:t>right, or</w:t>
      </w:r>
      <w:r>
        <w:rPr>
          <w:sz w:val="22"/>
        </w:rPr>
        <w:t xml:space="preserve"> </w:t>
      </w:r>
    </w:p>
    <w:p w14:paraId="298C61CD" w14:textId="61D13A86" w:rsidR="00625D91" w:rsidRPr="00881BD6" w:rsidRDefault="00625D91" w:rsidP="00995397">
      <w:pPr>
        <w:pStyle w:val="Level2"/>
        <w:numPr>
          <w:ilvl w:val="0"/>
          <w:numId w:val="33"/>
        </w:numPr>
        <w:rPr>
          <w:sz w:val="22"/>
        </w:rPr>
      </w:pPr>
      <w:r>
        <w:rPr>
          <w:sz w:val="22"/>
        </w:rPr>
        <w:t>Your tenancy agreement says you can</w:t>
      </w:r>
      <w:r w:rsidR="00350A8F">
        <w:rPr>
          <w:sz w:val="22"/>
        </w:rPr>
        <w:t xml:space="preserve"> – a contractual right (this may require our permission)</w:t>
      </w:r>
      <w:r>
        <w:rPr>
          <w:sz w:val="22"/>
        </w:rPr>
        <w:t xml:space="preserve"> </w:t>
      </w:r>
    </w:p>
    <w:p w14:paraId="33C1F7B5" w14:textId="64934A18" w:rsidR="00350A8F" w:rsidRDefault="593CA1AA" w:rsidP="051187FC">
      <w:pPr>
        <w:pStyle w:val="Level2"/>
        <w:numPr>
          <w:ilvl w:val="0"/>
          <w:numId w:val="0"/>
        </w:numPr>
        <w:ind w:left="426" w:hanging="710"/>
        <w:rPr>
          <w:sz w:val="22"/>
        </w:rPr>
      </w:pPr>
      <w:r w:rsidRPr="051187FC">
        <w:rPr>
          <w:sz w:val="22"/>
        </w:rPr>
        <w:t xml:space="preserve">14.2   </w:t>
      </w:r>
      <w:r w:rsidR="00FC2F4B">
        <w:rPr>
          <w:sz w:val="22"/>
        </w:rPr>
        <w:t xml:space="preserve">  </w:t>
      </w:r>
      <w:r w:rsidR="00350A8F" w:rsidRPr="051187FC">
        <w:rPr>
          <w:sz w:val="22"/>
        </w:rPr>
        <w:t>An assignor is the tenant who passes on their tenancy. The assignee is the person taking over the tenancy</w:t>
      </w:r>
      <w:r w:rsidR="00785487" w:rsidRPr="051187FC">
        <w:rPr>
          <w:sz w:val="22"/>
        </w:rPr>
        <w:t>.</w:t>
      </w:r>
    </w:p>
    <w:p w14:paraId="397336D9" w14:textId="018E66C6" w:rsidR="00785487" w:rsidRDefault="41C2AC47" w:rsidP="051187FC">
      <w:pPr>
        <w:pStyle w:val="Level2"/>
        <w:numPr>
          <w:ilvl w:val="0"/>
          <w:numId w:val="0"/>
        </w:numPr>
        <w:ind w:left="426" w:hanging="710"/>
        <w:rPr>
          <w:sz w:val="22"/>
        </w:rPr>
      </w:pPr>
      <w:r w:rsidRPr="051187FC">
        <w:rPr>
          <w:sz w:val="22"/>
        </w:rPr>
        <w:t xml:space="preserve">14.3   </w:t>
      </w:r>
      <w:r w:rsidR="00FC2F4B">
        <w:rPr>
          <w:sz w:val="22"/>
        </w:rPr>
        <w:t xml:space="preserve"> </w:t>
      </w:r>
      <w:r w:rsidR="00785487" w:rsidRPr="051187FC">
        <w:rPr>
          <w:sz w:val="22"/>
        </w:rPr>
        <w:t>An assignee will take on the rights, responsibilities, and terms of the assignor’s tenancy (unless there are legal reasons that prevent this)</w:t>
      </w:r>
      <w:r w:rsidR="003957A9" w:rsidRPr="051187FC">
        <w:rPr>
          <w:sz w:val="22"/>
        </w:rPr>
        <w:t>.</w:t>
      </w:r>
    </w:p>
    <w:p w14:paraId="63C23C61" w14:textId="51150CC2" w:rsidR="003957A9" w:rsidRDefault="61987EA3" w:rsidP="051187FC">
      <w:pPr>
        <w:pStyle w:val="Level2"/>
        <w:numPr>
          <w:ilvl w:val="0"/>
          <w:numId w:val="0"/>
        </w:numPr>
        <w:ind w:left="426" w:hanging="710"/>
        <w:rPr>
          <w:sz w:val="22"/>
        </w:rPr>
      </w:pPr>
      <w:r w:rsidRPr="051187FC">
        <w:rPr>
          <w:sz w:val="22"/>
        </w:rPr>
        <w:lastRenderedPageBreak/>
        <w:t xml:space="preserve">14.4   </w:t>
      </w:r>
      <w:r w:rsidR="003957A9" w:rsidRPr="051187FC">
        <w:rPr>
          <w:sz w:val="22"/>
        </w:rPr>
        <w:t>Where our permission to assign is required, we will not normally give permission to the assign if the assignee is not eligible under o</w:t>
      </w:r>
      <w:r w:rsidR="00E50DC3" w:rsidRPr="051187FC">
        <w:rPr>
          <w:sz w:val="22"/>
        </w:rPr>
        <w:t>u</w:t>
      </w:r>
      <w:r w:rsidR="003957A9" w:rsidRPr="051187FC">
        <w:rPr>
          <w:sz w:val="22"/>
        </w:rPr>
        <w:t>r lettings criteria</w:t>
      </w:r>
      <w:r w:rsidR="004A40D0" w:rsidRPr="051187FC">
        <w:rPr>
          <w:sz w:val="22"/>
        </w:rPr>
        <w:t xml:space="preserve"> </w:t>
      </w:r>
      <w:r w:rsidR="003957A9" w:rsidRPr="051187FC">
        <w:rPr>
          <w:sz w:val="22"/>
        </w:rPr>
        <w:t xml:space="preserve">or does not need the size and type of the home, or where there is an existing breach of tenancy. </w:t>
      </w:r>
    </w:p>
    <w:p w14:paraId="092C37EE" w14:textId="3290F968" w:rsidR="00E74E54" w:rsidRPr="007830C8" w:rsidRDefault="080AACB9" w:rsidP="051187FC">
      <w:pPr>
        <w:pStyle w:val="Level1"/>
        <w:keepNext/>
        <w:numPr>
          <w:ilvl w:val="0"/>
          <w:numId w:val="0"/>
        </w:numPr>
        <w:ind w:left="426" w:hanging="710"/>
        <w:rPr>
          <w:sz w:val="22"/>
        </w:rPr>
      </w:pPr>
      <w:r w:rsidRPr="051187FC">
        <w:rPr>
          <w:rStyle w:val="Level1asheadingtext"/>
          <w:sz w:val="22"/>
        </w:rPr>
        <w:t xml:space="preserve">15       </w:t>
      </w:r>
      <w:r w:rsidR="00E74E54" w:rsidRPr="051187FC">
        <w:rPr>
          <w:rStyle w:val="Level1asheadingtext"/>
          <w:sz w:val="22"/>
        </w:rPr>
        <w:t>Squatters and illegal occupiers</w:t>
      </w:r>
    </w:p>
    <w:p w14:paraId="2C535D2F" w14:textId="55C2C390" w:rsidR="001F1C09" w:rsidRDefault="4CF79AE5" w:rsidP="051187FC">
      <w:pPr>
        <w:pStyle w:val="Level2"/>
        <w:numPr>
          <w:ilvl w:val="0"/>
          <w:numId w:val="0"/>
        </w:numPr>
        <w:ind w:left="426" w:hanging="710"/>
        <w:rPr>
          <w:sz w:val="22"/>
        </w:rPr>
      </w:pPr>
      <w:r w:rsidRPr="051187FC">
        <w:rPr>
          <w:sz w:val="22"/>
        </w:rPr>
        <w:t xml:space="preserve">15.1  </w:t>
      </w:r>
      <w:r w:rsidR="00FC2F4B">
        <w:rPr>
          <w:sz w:val="22"/>
        </w:rPr>
        <w:t xml:space="preserve">  </w:t>
      </w:r>
      <w:r w:rsidR="00E74E54" w:rsidRPr="051187FC">
        <w:rPr>
          <w:sz w:val="22"/>
        </w:rPr>
        <w:t xml:space="preserve">A squatter is a </w:t>
      </w:r>
      <w:r w:rsidR="001F1C09" w:rsidRPr="051187FC">
        <w:rPr>
          <w:sz w:val="22"/>
        </w:rPr>
        <w:t xml:space="preserve">trespasser- someone who </w:t>
      </w:r>
      <w:r w:rsidR="00493E98" w:rsidRPr="051187FC">
        <w:rPr>
          <w:sz w:val="22"/>
        </w:rPr>
        <w:t>has entered</w:t>
      </w:r>
      <w:r w:rsidR="001F1C09" w:rsidRPr="051187FC">
        <w:rPr>
          <w:sz w:val="22"/>
        </w:rPr>
        <w:t xml:space="preserve"> or remained on the property without the consent of the person entitled to possession, i.e. the tenant, or landlord. </w:t>
      </w:r>
    </w:p>
    <w:p w14:paraId="27662B81" w14:textId="65198953" w:rsidR="001F1C09" w:rsidRDefault="7DE2E50E" w:rsidP="051187FC">
      <w:pPr>
        <w:pStyle w:val="Level2"/>
        <w:numPr>
          <w:ilvl w:val="0"/>
          <w:numId w:val="0"/>
        </w:numPr>
        <w:ind w:left="426" w:hanging="710"/>
        <w:rPr>
          <w:sz w:val="22"/>
        </w:rPr>
      </w:pPr>
      <w:r w:rsidRPr="051187FC">
        <w:rPr>
          <w:sz w:val="22"/>
        </w:rPr>
        <w:t xml:space="preserve">15.2   </w:t>
      </w:r>
      <w:r w:rsidR="001F1C09" w:rsidRPr="051187FC">
        <w:rPr>
          <w:sz w:val="22"/>
        </w:rPr>
        <w:t>An illegal occupier is a person who entered the property with the consent of the tenant and</w:t>
      </w:r>
      <w:r w:rsidR="00FC2F4B">
        <w:rPr>
          <w:sz w:val="22"/>
        </w:rPr>
        <w:t xml:space="preserve"> </w:t>
      </w:r>
      <w:r w:rsidR="001F1C09" w:rsidRPr="051187FC">
        <w:rPr>
          <w:sz w:val="22"/>
        </w:rPr>
        <w:t>remains there following termination of the tenancy. This will include for example:</w:t>
      </w:r>
    </w:p>
    <w:p w14:paraId="28375E0C" w14:textId="31932545" w:rsidR="001F1C09" w:rsidRDefault="001F1C09" w:rsidP="00995397">
      <w:pPr>
        <w:pStyle w:val="Level2"/>
        <w:numPr>
          <w:ilvl w:val="0"/>
          <w:numId w:val="36"/>
        </w:numPr>
        <w:rPr>
          <w:sz w:val="22"/>
        </w:rPr>
      </w:pPr>
      <w:r>
        <w:rPr>
          <w:sz w:val="22"/>
        </w:rPr>
        <w:t>Unlaw</w:t>
      </w:r>
      <w:r w:rsidR="00493E98">
        <w:rPr>
          <w:sz w:val="22"/>
        </w:rPr>
        <w:t>ful</w:t>
      </w:r>
      <w:r>
        <w:rPr>
          <w:sz w:val="22"/>
        </w:rPr>
        <w:t xml:space="preserve"> subletting</w:t>
      </w:r>
    </w:p>
    <w:p w14:paraId="3EDDEE52" w14:textId="2DD9C325" w:rsidR="00493E98" w:rsidRDefault="001F1C09" w:rsidP="00995397">
      <w:pPr>
        <w:pStyle w:val="Level2"/>
        <w:numPr>
          <w:ilvl w:val="0"/>
          <w:numId w:val="36"/>
        </w:numPr>
        <w:rPr>
          <w:sz w:val="22"/>
        </w:rPr>
      </w:pPr>
      <w:r>
        <w:rPr>
          <w:sz w:val="22"/>
        </w:rPr>
        <w:t xml:space="preserve">A person remaining in the property following death of tenant </w:t>
      </w:r>
      <w:r w:rsidR="00493E98">
        <w:rPr>
          <w:sz w:val="22"/>
        </w:rPr>
        <w:t>who has no entitlement to succeed.</w:t>
      </w:r>
    </w:p>
    <w:p w14:paraId="615396FF" w14:textId="4C2CB12E" w:rsidR="00350A8F" w:rsidRPr="00881BD6" w:rsidRDefault="00493E98" w:rsidP="00995397">
      <w:pPr>
        <w:pStyle w:val="Level2"/>
        <w:numPr>
          <w:ilvl w:val="0"/>
          <w:numId w:val="36"/>
        </w:numPr>
        <w:rPr>
          <w:sz w:val="22"/>
        </w:rPr>
      </w:pPr>
      <w:r>
        <w:rPr>
          <w:sz w:val="22"/>
        </w:rPr>
        <w:t xml:space="preserve">A person who was an assured joint </w:t>
      </w:r>
      <w:proofErr w:type="gramStart"/>
      <w:r>
        <w:rPr>
          <w:sz w:val="22"/>
        </w:rPr>
        <w:t>tenant</w:t>
      </w:r>
      <w:proofErr w:type="gramEnd"/>
      <w:r>
        <w:rPr>
          <w:sz w:val="22"/>
        </w:rPr>
        <w:t xml:space="preserve"> but the other party gave us notice to quit to end the tenancy. </w:t>
      </w:r>
      <w:r w:rsidR="00E74E54">
        <w:rPr>
          <w:sz w:val="22"/>
        </w:rPr>
        <w:t xml:space="preserve"> </w:t>
      </w:r>
    </w:p>
    <w:p w14:paraId="65B7EA1B" w14:textId="7F061F74" w:rsidR="00493E98" w:rsidRDefault="2A094504" w:rsidP="051187FC">
      <w:pPr>
        <w:pStyle w:val="Level2"/>
        <w:numPr>
          <w:ilvl w:val="0"/>
          <w:numId w:val="0"/>
        </w:numPr>
        <w:ind w:left="426" w:hanging="710"/>
        <w:rPr>
          <w:sz w:val="22"/>
        </w:rPr>
      </w:pPr>
      <w:r w:rsidRPr="051187FC">
        <w:rPr>
          <w:sz w:val="22"/>
        </w:rPr>
        <w:t xml:space="preserve">15.3   </w:t>
      </w:r>
      <w:r w:rsidR="00493E98" w:rsidRPr="051187FC">
        <w:rPr>
          <w:sz w:val="22"/>
        </w:rPr>
        <w:t>We will take action to evict illegal occupants from our property</w:t>
      </w:r>
      <w:r w:rsidR="00D22725" w:rsidRPr="051187FC">
        <w:rPr>
          <w:sz w:val="22"/>
        </w:rPr>
        <w:t xml:space="preserve">. Squatting is a criminal offence and those people risk being arrested if they do not leave the property. </w:t>
      </w:r>
      <w:r w:rsidR="00493E98" w:rsidRPr="051187FC">
        <w:rPr>
          <w:sz w:val="22"/>
        </w:rPr>
        <w:t xml:space="preserve"> </w:t>
      </w:r>
    </w:p>
    <w:p w14:paraId="5B205C9F" w14:textId="71FA6ADF" w:rsidR="00A1344C" w:rsidRPr="007830C8" w:rsidRDefault="7AFA1A57" w:rsidP="051187FC">
      <w:pPr>
        <w:pStyle w:val="Level1"/>
        <w:keepNext/>
        <w:numPr>
          <w:ilvl w:val="0"/>
          <w:numId w:val="0"/>
        </w:numPr>
        <w:ind w:left="426" w:hanging="710"/>
        <w:rPr>
          <w:sz w:val="22"/>
        </w:rPr>
      </w:pPr>
      <w:r w:rsidRPr="051187FC">
        <w:rPr>
          <w:rStyle w:val="Level1asheadingtext"/>
          <w:sz w:val="22"/>
        </w:rPr>
        <w:t xml:space="preserve">16       </w:t>
      </w:r>
      <w:r w:rsidR="00A1344C" w:rsidRPr="051187FC">
        <w:rPr>
          <w:rStyle w:val="Level1asheadingtext"/>
          <w:sz w:val="22"/>
        </w:rPr>
        <w:t xml:space="preserve">Diversity and inclusion </w:t>
      </w:r>
    </w:p>
    <w:p w14:paraId="36D00761" w14:textId="27ABE976" w:rsidR="00493E98" w:rsidRPr="00881BD6" w:rsidRDefault="534F88B8" w:rsidP="051187FC">
      <w:pPr>
        <w:pStyle w:val="Level2"/>
        <w:numPr>
          <w:ilvl w:val="0"/>
          <w:numId w:val="0"/>
        </w:numPr>
        <w:ind w:left="426" w:hanging="710"/>
        <w:rPr>
          <w:sz w:val="22"/>
        </w:rPr>
      </w:pPr>
      <w:r w:rsidRPr="051187FC">
        <w:rPr>
          <w:sz w:val="22"/>
        </w:rPr>
        <w:t xml:space="preserve">16.1  </w:t>
      </w:r>
      <w:r w:rsidR="00FC2F4B">
        <w:rPr>
          <w:sz w:val="22"/>
        </w:rPr>
        <w:t xml:space="preserve">  </w:t>
      </w:r>
      <w:r w:rsidR="00A1344C" w:rsidRPr="051187FC">
        <w:rPr>
          <w:sz w:val="22"/>
        </w:rPr>
        <w:t>We</w:t>
      </w:r>
      <w:r w:rsidR="00995397" w:rsidRPr="051187FC">
        <w:rPr>
          <w:sz w:val="22"/>
        </w:rPr>
        <w:t xml:space="preserve"> have</w:t>
      </w:r>
      <w:r w:rsidR="00B15FDE" w:rsidRPr="051187FC">
        <w:rPr>
          <w:sz w:val="22"/>
        </w:rPr>
        <w:t xml:space="preserve"> carried out an </w:t>
      </w:r>
      <w:r w:rsidR="00C26BEF" w:rsidRPr="051187FC">
        <w:rPr>
          <w:sz w:val="22"/>
        </w:rPr>
        <w:t>Equality</w:t>
      </w:r>
      <w:r w:rsidR="00B15FDE" w:rsidRPr="051187FC">
        <w:rPr>
          <w:sz w:val="22"/>
        </w:rPr>
        <w:t xml:space="preserve"> Impact Assessment to consider the positive and negative impacts this Policy may have on people with protected characteristics under the </w:t>
      </w:r>
      <w:hyperlink r:id="rId12">
        <w:r w:rsidR="00B15FDE" w:rsidRPr="051187FC">
          <w:rPr>
            <w:rStyle w:val="Hyperlink"/>
            <w:sz w:val="22"/>
          </w:rPr>
          <w:t>Equality Act 2010</w:t>
        </w:r>
      </w:hyperlink>
      <w:r w:rsidR="0021741C" w:rsidRPr="051187FC">
        <w:rPr>
          <w:sz w:val="22"/>
        </w:rPr>
        <w:t xml:space="preserve">. We have also taken into account our obligations under the public sector equality duty in drafting </w:t>
      </w:r>
      <w:proofErr w:type="gramStart"/>
      <w:r w:rsidR="0021741C" w:rsidRPr="051187FC">
        <w:rPr>
          <w:sz w:val="22"/>
        </w:rPr>
        <w:t>this</w:t>
      </w:r>
      <w:proofErr w:type="gramEnd"/>
      <w:r w:rsidR="0021741C" w:rsidRPr="051187FC">
        <w:rPr>
          <w:sz w:val="22"/>
        </w:rPr>
        <w:t xml:space="preserve"> Policy. </w:t>
      </w:r>
      <w:r w:rsidR="00A1344C" w:rsidRPr="051187FC">
        <w:rPr>
          <w:sz w:val="22"/>
        </w:rPr>
        <w:t xml:space="preserve"> </w:t>
      </w:r>
    </w:p>
    <w:p w14:paraId="6A3C7447" w14:textId="26D06884" w:rsidR="00C94F1B" w:rsidRPr="007830C8" w:rsidRDefault="2C8E2050" w:rsidP="051187FC">
      <w:pPr>
        <w:pStyle w:val="Level1"/>
        <w:keepNext/>
        <w:numPr>
          <w:ilvl w:val="0"/>
          <w:numId w:val="0"/>
        </w:numPr>
        <w:ind w:left="426" w:hanging="710"/>
        <w:rPr>
          <w:sz w:val="22"/>
        </w:rPr>
      </w:pPr>
      <w:r w:rsidRPr="051187FC">
        <w:rPr>
          <w:rStyle w:val="Level1asheadingtext"/>
          <w:sz w:val="22"/>
        </w:rPr>
        <w:t xml:space="preserve">17       </w:t>
      </w:r>
      <w:r w:rsidR="00D820B7" w:rsidRPr="051187FC">
        <w:rPr>
          <w:rStyle w:val="Level1asheadingtext"/>
          <w:sz w:val="22"/>
        </w:rPr>
        <w:t xml:space="preserve">Delegated </w:t>
      </w:r>
      <w:proofErr w:type="gramStart"/>
      <w:r w:rsidR="00D820B7" w:rsidRPr="051187FC">
        <w:rPr>
          <w:rStyle w:val="Level1asheadingtext"/>
          <w:sz w:val="22"/>
        </w:rPr>
        <w:t>authority</w:t>
      </w:r>
      <w:proofErr w:type="gramEnd"/>
      <w:r w:rsidR="00D820B7" w:rsidRPr="051187FC">
        <w:rPr>
          <w:rStyle w:val="Level1asheadingtext"/>
          <w:sz w:val="22"/>
        </w:rPr>
        <w:t xml:space="preserve"> </w:t>
      </w:r>
    </w:p>
    <w:p w14:paraId="2C45A9F3" w14:textId="7658E793" w:rsidR="00C94F1B" w:rsidRDefault="4556D315" w:rsidP="051187FC">
      <w:pPr>
        <w:pStyle w:val="Level2"/>
        <w:numPr>
          <w:ilvl w:val="0"/>
          <w:numId w:val="0"/>
        </w:numPr>
        <w:ind w:left="426" w:hanging="710"/>
        <w:rPr>
          <w:sz w:val="22"/>
        </w:rPr>
      </w:pPr>
      <w:r w:rsidRPr="051187FC">
        <w:rPr>
          <w:sz w:val="22"/>
        </w:rPr>
        <w:t xml:space="preserve">17.1    </w:t>
      </w:r>
      <w:r w:rsidR="00D820B7" w:rsidRPr="051187FC">
        <w:rPr>
          <w:sz w:val="22"/>
        </w:rPr>
        <w:t xml:space="preserve">The Executive Team has delegated authority for the issuing of tenancies to officers, the signing of legal notices to managers and the serving of legal notices to officers. Any tenancy ending by way of eviction must be authorised by the Housing Director and Chief Executive, or two directors where the Chief Executive is absent: </w:t>
      </w:r>
    </w:p>
    <w:p w14:paraId="7CDF1E1C" w14:textId="4EA6CF7B" w:rsidR="001565EC" w:rsidRDefault="001565EC" w:rsidP="00BC2BB3">
      <w:pPr>
        <w:pStyle w:val="Level1"/>
        <w:numPr>
          <w:ilvl w:val="0"/>
          <w:numId w:val="0"/>
        </w:numPr>
        <w:ind w:left="992" w:hanging="566"/>
        <w:rPr>
          <w:sz w:val="22"/>
        </w:rPr>
      </w:pPr>
      <w:r>
        <w:rPr>
          <w:sz w:val="22"/>
        </w:rPr>
        <w:t>Exceptional circumstances</w:t>
      </w:r>
    </w:p>
    <w:p w14:paraId="73587115" w14:textId="755BD28D" w:rsidR="001565EC" w:rsidRDefault="001565EC" w:rsidP="00BC2BB3">
      <w:pPr>
        <w:pStyle w:val="Level1"/>
        <w:numPr>
          <w:ilvl w:val="0"/>
          <w:numId w:val="44"/>
        </w:numPr>
        <w:rPr>
          <w:sz w:val="22"/>
        </w:rPr>
      </w:pPr>
      <w:r>
        <w:rPr>
          <w:sz w:val="22"/>
        </w:rPr>
        <w:t xml:space="preserve">We work with local authority partners when we let our homes and may issue different types of tenancy to reflect the needs of the individual. This will be agreed in conjunction with the local authority and the Allocations Manager or Head of Service. </w:t>
      </w:r>
    </w:p>
    <w:p w14:paraId="23B36FF9" w14:textId="2CBDABE8" w:rsidR="001565EC" w:rsidRDefault="001565EC" w:rsidP="00BC2BB3">
      <w:pPr>
        <w:pStyle w:val="Level1"/>
        <w:numPr>
          <w:ilvl w:val="0"/>
          <w:numId w:val="44"/>
        </w:numPr>
        <w:rPr>
          <w:sz w:val="22"/>
        </w:rPr>
      </w:pPr>
      <w:r>
        <w:rPr>
          <w:sz w:val="22"/>
        </w:rPr>
        <w:t xml:space="preserve">We will comply with any instructions from the county court following legal actions. An example may include demoting tenancies or assigning joint tenancies. </w:t>
      </w:r>
    </w:p>
    <w:p w14:paraId="0402F44F" w14:textId="68A9A496" w:rsidR="00D820B7" w:rsidRPr="002871DF" w:rsidRDefault="001565EC" w:rsidP="00BC2BB3">
      <w:pPr>
        <w:pStyle w:val="Level1"/>
        <w:numPr>
          <w:ilvl w:val="0"/>
          <w:numId w:val="44"/>
        </w:numPr>
        <w:rPr>
          <w:sz w:val="22"/>
        </w:rPr>
      </w:pPr>
      <w:r>
        <w:rPr>
          <w:sz w:val="22"/>
        </w:rPr>
        <w:t>We reserve the right to issue tenancies outside the principles and guidance of this policy where there are grounds to do so. This can only be approved b</w:t>
      </w:r>
      <w:r w:rsidR="00A83E76">
        <w:rPr>
          <w:sz w:val="22"/>
        </w:rPr>
        <w:t xml:space="preserve">y </w:t>
      </w:r>
      <w:r>
        <w:rPr>
          <w:sz w:val="22"/>
        </w:rPr>
        <w:t xml:space="preserve">the Allocations Manager or Head of Service. </w:t>
      </w:r>
    </w:p>
    <w:p w14:paraId="7AF4C09D" w14:textId="5AE10991" w:rsidR="00CC318B" w:rsidRPr="00D850BD" w:rsidRDefault="4945EC6C" w:rsidP="051187FC">
      <w:pPr>
        <w:pStyle w:val="Level1"/>
        <w:keepNext/>
        <w:numPr>
          <w:ilvl w:val="0"/>
          <w:numId w:val="0"/>
        </w:numPr>
        <w:ind w:left="426" w:hanging="710"/>
        <w:rPr>
          <w:rStyle w:val="Level1asheadingtext"/>
          <w:sz w:val="22"/>
        </w:rPr>
      </w:pPr>
      <w:r w:rsidRPr="051187FC">
        <w:rPr>
          <w:rStyle w:val="Level1asheadingtext"/>
          <w:sz w:val="22"/>
        </w:rPr>
        <w:lastRenderedPageBreak/>
        <w:t xml:space="preserve">18       </w:t>
      </w:r>
      <w:r w:rsidR="00CC318B" w:rsidRPr="051187FC">
        <w:rPr>
          <w:rStyle w:val="Level1asheadingtext"/>
          <w:sz w:val="22"/>
        </w:rPr>
        <w:t>Monitoring</w:t>
      </w:r>
    </w:p>
    <w:p w14:paraId="622FAD28" w14:textId="45B75063" w:rsidR="00CC318B" w:rsidRDefault="004D1293" w:rsidP="00A60EA3">
      <w:pPr>
        <w:pStyle w:val="Level1"/>
        <w:keepNext/>
        <w:numPr>
          <w:ilvl w:val="0"/>
          <w:numId w:val="0"/>
        </w:numPr>
        <w:ind w:left="397"/>
        <w:rPr>
          <w:rStyle w:val="Level1asheadingtext"/>
          <w:b w:val="0"/>
          <w:sz w:val="22"/>
        </w:rPr>
      </w:pPr>
      <w:r w:rsidRPr="5EFC3282">
        <w:rPr>
          <w:rStyle w:val="Level1asheadingtext"/>
          <w:b w:val="0"/>
          <w:sz w:val="22"/>
        </w:rPr>
        <w:t>We will carry out tenancy audits</w:t>
      </w:r>
      <w:r w:rsidR="009A2589" w:rsidRPr="5EFC3282">
        <w:rPr>
          <w:rStyle w:val="Level1asheadingtext"/>
          <w:b w:val="0"/>
          <w:sz w:val="22"/>
        </w:rPr>
        <w:t xml:space="preserve"> during </w:t>
      </w:r>
      <w:r w:rsidR="00A60EA3">
        <w:rPr>
          <w:rStyle w:val="Level1asheadingtext"/>
          <w:b w:val="0"/>
          <w:sz w:val="22"/>
        </w:rPr>
        <w:t xml:space="preserve">the lifetime of </w:t>
      </w:r>
      <w:r w:rsidR="009A2589" w:rsidRPr="5EFC3282">
        <w:rPr>
          <w:rStyle w:val="Level1asheadingtext"/>
          <w:b w:val="0"/>
          <w:sz w:val="22"/>
        </w:rPr>
        <w:t>any tenancy to ensure the correct</w:t>
      </w:r>
      <w:r w:rsidR="00A60EA3">
        <w:rPr>
          <w:rStyle w:val="Level1asheadingtext"/>
          <w:b w:val="0"/>
          <w:sz w:val="22"/>
        </w:rPr>
        <w:t xml:space="preserve"> </w:t>
      </w:r>
      <w:r w:rsidR="009A2589" w:rsidRPr="5EFC3282">
        <w:rPr>
          <w:rStyle w:val="Level1asheadingtext"/>
          <w:b w:val="0"/>
          <w:sz w:val="22"/>
        </w:rPr>
        <w:t xml:space="preserve">residents are living in </w:t>
      </w:r>
      <w:r w:rsidR="00170121" w:rsidRPr="5EFC3282">
        <w:rPr>
          <w:rStyle w:val="Level1asheadingtext"/>
          <w:b w:val="0"/>
          <w:sz w:val="22"/>
        </w:rPr>
        <w:t xml:space="preserve">the </w:t>
      </w:r>
      <w:r w:rsidR="009A2589" w:rsidRPr="5EFC3282">
        <w:rPr>
          <w:rStyle w:val="Level1asheadingtext"/>
          <w:b w:val="0"/>
          <w:sz w:val="22"/>
        </w:rPr>
        <w:t>home</w:t>
      </w:r>
      <w:r w:rsidR="00BE0883" w:rsidRPr="5EFC3282">
        <w:rPr>
          <w:rStyle w:val="Level1asheadingtext"/>
          <w:b w:val="0"/>
          <w:sz w:val="22"/>
        </w:rPr>
        <w:t xml:space="preserve">.  This will </w:t>
      </w:r>
      <w:r w:rsidR="00E85CED" w:rsidRPr="5EFC3282">
        <w:rPr>
          <w:rStyle w:val="Level1asheadingtext"/>
          <w:b w:val="0"/>
          <w:sz w:val="22"/>
        </w:rPr>
        <w:t xml:space="preserve">allow </w:t>
      </w:r>
      <w:r w:rsidR="00AA4617" w:rsidRPr="5EFC3282">
        <w:rPr>
          <w:rStyle w:val="Level1asheadingtext"/>
          <w:b w:val="0"/>
          <w:sz w:val="22"/>
        </w:rPr>
        <w:t xml:space="preserve">us </w:t>
      </w:r>
      <w:r w:rsidR="00E85CED" w:rsidRPr="5EFC3282">
        <w:rPr>
          <w:rStyle w:val="Level1asheadingtext"/>
          <w:b w:val="0"/>
          <w:sz w:val="22"/>
        </w:rPr>
        <w:t xml:space="preserve">the opportunity to see how the </w:t>
      </w:r>
      <w:r w:rsidR="0037216E" w:rsidRPr="5EFC3282">
        <w:rPr>
          <w:rStyle w:val="Level1asheadingtext"/>
          <w:b w:val="0"/>
          <w:sz w:val="22"/>
        </w:rPr>
        <w:t xml:space="preserve">tenancy </w:t>
      </w:r>
      <w:r w:rsidR="00E85CED" w:rsidRPr="5EFC3282">
        <w:rPr>
          <w:rStyle w:val="Level1asheadingtext"/>
          <w:b w:val="0"/>
          <w:sz w:val="22"/>
        </w:rPr>
        <w:t xml:space="preserve">is being maintained and </w:t>
      </w:r>
      <w:r w:rsidR="00AA4617" w:rsidRPr="5EFC3282">
        <w:rPr>
          <w:rStyle w:val="Level1asheadingtext"/>
          <w:b w:val="0"/>
          <w:sz w:val="22"/>
        </w:rPr>
        <w:t>identify any support needs to enable residents to live well in their home</w:t>
      </w:r>
      <w:r w:rsidR="00E85CED" w:rsidRPr="5EFC3282">
        <w:rPr>
          <w:rStyle w:val="Level1asheadingtext"/>
          <w:b w:val="0"/>
          <w:sz w:val="22"/>
        </w:rPr>
        <w:t>.</w:t>
      </w:r>
    </w:p>
    <w:p w14:paraId="384A5CA0" w14:textId="50911F58" w:rsidR="002871DF" w:rsidRPr="00EC747E" w:rsidRDefault="608B56C8" w:rsidP="051187FC">
      <w:pPr>
        <w:pStyle w:val="Level1"/>
        <w:keepNext/>
        <w:numPr>
          <w:ilvl w:val="0"/>
          <w:numId w:val="0"/>
        </w:numPr>
        <w:ind w:left="426" w:hanging="710"/>
        <w:rPr>
          <w:rStyle w:val="Level1asheadingtext"/>
          <w:b w:val="0"/>
          <w:sz w:val="22"/>
        </w:rPr>
      </w:pPr>
      <w:r w:rsidRPr="051187FC">
        <w:rPr>
          <w:rStyle w:val="Level1asheadingtext"/>
          <w:sz w:val="22"/>
        </w:rPr>
        <w:t xml:space="preserve">19       </w:t>
      </w:r>
      <w:r w:rsidR="002871DF" w:rsidRPr="051187FC">
        <w:rPr>
          <w:rStyle w:val="Level1asheadingtext"/>
          <w:sz w:val="22"/>
        </w:rPr>
        <w:t>Review</w:t>
      </w:r>
    </w:p>
    <w:p w14:paraId="10E3144D" w14:textId="6EF85D8D" w:rsidR="00EC747E" w:rsidRPr="00401E57" w:rsidRDefault="7F437CA6" w:rsidP="051187FC">
      <w:pPr>
        <w:pStyle w:val="Level2"/>
        <w:numPr>
          <w:ilvl w:val="0"/>
          <w:numId w:val="0"/>
        </w:numPr>
        <w:ind w:left="426" w:hanging="710"/>
        <w:rPr>
          <w:sz w:val="22"/>
        </w:rPr>
      </w:pPr>
      <w:r w:rsidRPr="051187FC">
        <w:rPr>
          <w:sz w:val="22"/>
        </w:rPr>
        <w:t xml:space="preserve">19.1  </w:t>
      </w:r>
      <w:r w:rsidR="00FC2F4B">
        <w:rPr>
          <w:sz w:val="22"/>
        </w:rPr>
        <w:t xml:space="preserve"> </w:t>
      </w:r>
      <w:r w:rsidR="005A7FC0" w:rsidRPr="051187FC">
        <w:rPr>
          <w:sz w:val="22"/>
        </w:rPr>
        <w:t>We</w:t>
      </w:r>
      <w:r w:rsidR="00995397" w:rsidRPr="051187FC">
        <w:rPr>
          <w:sz w:val="22"/>
        </w:rPr>
        <w:t xml:space="preserve"> will</w:t>
      </w:r>
      <w:r w:rsidR="005A7FC0" w:rsidRPr="051187FC">
        <w:rPr>
          <w:sz w:val="22"/>
        </w:rPr>
        <w:t xml:space="preserve"> review this </w:t>
      </w:r>
      <w:r w:rsidR="00410031">
        <w:rPr>
          <w:sz w:val="22"/>
        </w:rPr>
        <w:t>p</w:t>
      </w:r>
      <w:r w:rsidR="005A7FC0" w:rsidRPr="051187FC">
        <w:rPr>
          <w:sz w:val="22"/>
        </w:rPr>
        <w:t>olicy every three years</w:t>
      </w:r>
      <w:r w:rsidR="00401E57" w:rsidRPr="051187FC">
        <w:rPr>
          <w:sz w:val="22"/>
        </w:rPr>
        <w:t xml:space="preserve"> unless there are changes in law, regulation, guidance or operational issues that require an earlier review. </w:t>
      </w:r>
      <w:r w:rsidR="005A7FC0" w:rsidRPr="051187FC">
        <w:rPr>
          <w:sz w:val="22"/>
        </w:rPr>
        <w:t xml:space="preserve"> </w:t>
      </w:r>
    </w:p>
    <w:p w14:paraId="649DC18F" w14:textId="77777777" w:rsidR="00EC747E" w:rsidRDefault="00EC747E" w:rsidP="00995397">
      <w:pPr>
        <w:spacing w:before="81"/>
        <w:ind w:left="113"/>
        <w:rPr>
          <w:b/>
          <w:color w:val="0089AB"/>
          <w:sz w:val="24"/>
        </w:rPr>
      </w:pPr>
    </w:p>
    <w:p w14:paraId="06B88612" w14:textId="77777777" w:rsidR="00EC747E" w:rsidRDefault="00EC747E" w:rsidP="00995397">
      <w:pPr>
        <w:spacing w:before="81"/>
        <w:ind w:left="113"/>
        <w:rPr>
          <w:b/>
          <w:color w:val="0089AB"/>
          <w:sz w:val="24"/>
        </w:rPr>
      </w:pPr>
    </w:p>
    <w:p w14:paraId="2F3E3FB1" w14:textId="77777777" w:rsidR="00027D3B" w:rsidRDefault="00027D3B" w:rsidP="00995397">
      <w:pPr>
        <w:spacing w:before="81"/>
        <w:ind w:left="113"/>
        <w:rPr>
          <w:b/>
          <w:color w:val="0089AB"/>
          <w:sz w:val="24"/>
        </w:rPr>
      </w:pPr>
    </w:p>
    <w:p w14:paraId="5BB82822" w14:textId="77777777" w:rsidR="00027D3B" w:rsidRDefault="00027D3B" w:rsidP="00995397">
      <w:pPr>
        <w:spacing w:before="81"/>
        <w:ind w:left="113"/>
        <w:rPr>
          <w:b/>
          <w:color w:val="0089AB"/>
          <w:sz w:val="24"/>
        </w:rPr>
      </w:pPr>
    </w:p>
    <w:p w14:paraId="6B14D8F1" w14:textId="77777777" w:rsidR="00027D3B" w:rsidRDefault="00027D3B" w:rsidP="00995397">
      <w:pPr>
        <w:spacing w:before="81"/>
        <w:ind w:left="113"/>
        <w:rPr>
          <w:b/>
          <w:color w:val="0089AB"/>
          <w:sz w:val="24"/>
        </w:rPr>
      </w:pPr>
    </w:p>
    <w:p w14:paraId="601A3900" w14:textId="77777777" w:rsidR="00027D3B" w:rsidRDefault="00027D3B" w:rsidP="00995397">
      <w:pPr>
        <w:spacing w:before="81"/>
        <w:ind w:left="113"/>
        <w:rPr>
          <w:b/>
          <w:color w:val="0089AB"/>
          <w:sz w:val="24"/>
        </w:rPr>
      </w:pPr>
    </w:p>
    <w:p w14:paraId="3215191C" w14:textId="77777777" w:rsidR="00027D3B" w:rsidRDefault="00027D3B" w:rsidP="00995397">
      <w:pPr>
        <w:spacing w:before="81"/>
        <w:ind w:left="113"/>
        <w:rPr>
          <w:b/>
          <w:color w:val="0089AB"/>
          <w:sz w:val="24"/>
        </w:rPr>
      </w:pPr>
    </w:p>
    <w:p w14:paraId="044BAA6E" w14:textId="77777777" w:rsidR="00027D3B" w:rsidRDefault="00027D3B" w:rsidP="00995397">
      <w:pPr>
        <w:spacing w:before="81"/>
        <w:ind w:left="113"/>
        <w:rPr>
          <w:b/>
          <w:color w:val="0089AB"/>
          <w:sz w:val="24"/>
        </w:rPr>
      </w:pPr>
    </w:p>
    <w:p w14:paraId="5CB01AF1" w14:textId="77777777" w:rsidR="00027D3B" w:rsidRDefault="00027D3B" w:rsidP="00995397">
      <w:pPr>
        <w:spacing w:before="81"/>
        <w:ind w:left="113"/>
        <w:rPr>
          <w:b/>
          <w:color w:val="0089AB"/>
          <w:sz w:val="24"/>
        </w:rPr>
      </w:pPr>
    </w:p>
    <w:p w14:paraId="73E88640" w14:textId="77777777" w:rsidR="00027D3B" w:rsidRDefault="00027D3B" w:rsidP="00995397">
      <w:pPr>
        <w:spacing w:before="81"/>
        <w:ind w:left="113"/>
        <w:rPr>
          <w:b/>
          <w:color w:val="0089AB"/>
          <w:sz w:val="24"/>
        </w:rPr>
      </w:pPr>
    </w:p>
    <w:p w14:paraId="7233D0C8" w14:textId="77777777" w:rsidR="00027D3B" w:rsidRDefault="00027D3B" w:rsidP="00995397">
      <w:pPr>
        <w:spacing w:before="81"/>
        <w:ind w:left="113"/>
        <w:rPr>
          <w:b/>
          <w:color w:val="0089AB"/>
          <w:sz w:val="24"/>
        </w:rPr>
      </w:pPr>
    </w:p>
    <w:p w14:paraId="7625CE40" w14:textId="77777777" w:rsidR="00027D3B" w:rsidRDefault="00027D3B" w:rsidP="00995397">
      <w:pPr>
        <w:spacing w:before="81"/>
        <w:ind w:left="113"/>
        <w:rPr>
          <w:b/>
          <w:color w:val="0089AB"/>
          <w:sz w:val="24"/>
        </w:rPr>
      </w:pPr>
    </w:p>
    <w:p w14:paraId="285A114E" w14:textId="77777777" w:rsidR="00027D3B" w:rsidRDefault="00027D3B" w:rsidP="00995397">
      <w:pPr>
        <w:spacing w:before="81"/>
        <w:ind w:left="113"/>
        <w:rPr>
          <w:b/>
          <w:color w:val="0089AB"/>
          <w:sz w:val="24"/>
        </w:rPr>
      </w:pPr>
    </w:p>
    <w:p w14:paraId="7114C9AB" w14:textId="77777777" w:rsidR="00027D3B" w:rsidRDefault="00027D3B" w:rsidP="00995397">
      <w:pPr>
        <w:spacing w:before="81"/>
        <w:ind w:left="113"/>
        <w:rPr>
          <w:b/>
          <w:color w:val="0089AB"/>
          <w:sz w:val="24"/>
        </w:rPr>
      </w:pPr>
    </w:p>
    <w:p w14:paraId="496AB76C" w14:textId="77777777" w:rsidR="00027D3B" w:rsidRDefault="00027D3B" w:rsidP="00995397">
      <w:pPr>
        <w:spacing w:before="81"/>
        <w:ind w:left="113"/>
        <w:rPr>
          <w:b/>
          <w:color w:val="0089AB"/>
          <w:sz w:val="24"/>
        </w:rPr>
      </w:pPr>
    </w:p>
    <w:p w14:paraId="3D12A4D7" w14:textId="77777777" w:rsidR="00027D3B" w:rsidRDefault="00027D3B" w:rsidP="00995397">
      <w:pPr>
        <w:spacing w:before="81"/>
        <w:ind w:left="113"/>
        <w:rPr>
          <w:b/>
          <w:color w:val="0089AB"/>
          <w:sz w:val="24"/>
        </w:rPr>
      </w:pPr>
    </w:p>
    <w:p w14:paraId="05A7477D" w14:textId="77777777" w:rsidR="00027D3B" w:rsidRDefault="00027D3B" w:rsidP="00995397">
      <w:pPr>
        <w:spacing w:before="81"/>
        <w:ind w:left="113"/>
        <w:rPr>
          <w:b/>
          <w:color w:val="0089AB"/>
          <w:sz w:val="24"/>
        </w:rPr>
      </w:pPr>
    </w:p>
    <w:p w14:paraId="4B6E9668" w14:textId="77777777" w:rsidR="00027D3B" w:rsidRDefault="00027D3B" w:rsidP="00027D3B">
      <w:pPr>
        <w:rPr>
          <w:rFonts w:ascii="Arial" w:hAnsi="Arial" w:cs="Arial"/>
          <w:sz w:val="24"/>
        </w:rPr>
      </w:pPr>
    </w:p>
    <w:p w14:paraId="57295CA6" w14:textId="77777777" w:rsidR="00082A83" w:rsidRDefault="00082A83" w:rsidP="00027D3B">
      <w:pPr>
        <w:rPr>
          <w:rFonts w:ascii="Arial" w:hAnsi="Arial" w:cs="Arial"/>
          <w:sz w:val="24"/>
        </w:rPr>
      </w:pPr>
    </w:p>
    <w:p w14:paraId="2CAB97EB" w14:textId="77777777" w:rsidR="00082A83" w:rsidRDefault="00082A83" w:rsidP="00027D3B">
      <w:pPr>
        <w:rPr>
          <w:rFonts w:ascii="Arial" w:hAnsi="Arial" w:cs="Arial"/>
          <w:sz w:val="24"/>
        </w:rPr>
      </w:pPr>
    </w:p>
    <w:p w14:paraId="061ADE41" w14:textId="77777777" w:rsidR="00082A83" w:rsidRDefault="00082A83" w:rsidP="00027D3B">
      <w:pPr>
        <w:rPr>
          <w:rFonts w:ascii="Arial" w:hAnsi="Arial" w:cs="Arial"/>
          <w:sz w:val="24"/>
        </w:rPr>
      </w:pPr>
    </w:p>
    <w:p w14:paraId="08609186" w14:textId="77777777" w:rsidR="00082A83" w:rsidRPr="007830C8" w:rsidRDefault="00082A83" w:rsidP="00027D3B">
      <w:pPr>
        <w:rPr>
          <w:rFonts w:ascii="Arial" w:hAnsi="Arial" w:cs="Arial"/>
          <w:sz w:val="24"/>
        </w:rPr>
      </w:pPr>
    </w:p>
    <w:p w14:paraId="6C8CF0D7" w14:textId="77777777" w:rsidR="00027D3B" w:rsidRPr="007830C8" w:rsidRDefault="00027D3B" w:rsidP="00027D3B">
      <w:pPr>
        <w:rPr>
          <w:rFonts w:ascii="Arial" w:hAnsi="Arial" w:cs="Arial"/>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027D3B" w:rsidRPr="007830C8" w14:paraId="065E4B17" w14:textId="77777777" w:rsidTr="00C830DC">
        <w:tc>
          <w:tcPr>
            <w:tcW w:w="9314" w:type="dxa"/>
            <w:tcBorders>
              <w:top w:val="single" w:sz="4" w:space="0" w:color="auto"/>
            </w:tcBorders>
          </w:tcPr>
          <w:p w14:paraId="760058DF" w14:textId="77777777" w:rsidR="00027D3B" w:rsidRPr="007830C8" w:rsidRDefault="00027D3B" w:rsidP="00C830DC">
            <w:pPr>
              <w:rPr>
                <w:rFonts w:ascii="Arial" w:hAnsi="Arial" w:cs="Arial"/>
                <w:sz w:val="24"/>
              </w:rPr>
            </w:pPr>
          </w:p>
        </w:tc>
      </w:tr>
      <w:tr w:rsidR="00027D3B" w:rsidRPr="007830C8" w14:paraId="69AABD22" w14:textId="77777777" w:rsidTr="00C830DC">
        <w:tc>
          <w:tcPr>
            <w:tcW w:w="9314" w:type="dxa"/>
          </w:tcPr>
          <w:p w14:paraId="6A73705E" w14:textId="3673AD89" w:rsidR="00027D3B" w:rsidRPr="007830C8" w:rsidRDefault="00027D3B" w:rsidP="00C830DC">
            <w:pPr>
              <w:jc w:val="center"/>
              <w:rPr>
                <w:rFonts w:ascii="Arial" w:hAnsi="Arial" w:cs="Arial"/>
                <w:b/>
                <w:sz w:val="24"/>
                <w:szCs w:val="24"/>
              </w:rPr>
            </w:pPr>
            <w:r w:rsidRPr="006C4017">
              <w:rPr>
                <w:rFonts w:ascii="Arial" w:hAnsi="Arial" w:cs="Arial"/>
                <w:b/>
                <w:sz w:val="24"/>
                <w:szCs w:val="24"/>
              </w:rPr>
              <w:t>Summary of Key Material / Key Changes</w:t>
            </w:r>
          </w:p>
        </w:tc>
      </w:tr>
      <w:tr w:rsidR="00027D3B" w:rsidRPr="007830C8" w14:paraId="24ABDAFD" w14:textId="77777777" w:rsidTr="00C830DC">
        <w:tc>
          <w:tcPr>
            <w:tcW w:w="9314" w:type="dxa"/>
            <w:tcBorders>
              <w:bottom w:val="single" w:sz="4" w:space="0" w:color="auto"/>
            </w:tcBorders>
          </w:tcPr>
          <w:p w14:paraId="5626AC46" w14:textId="77777777" w:rsidR="00027D3B" w:rsidRPr="007830C8" w:rsidRDefault="00027D3B" w:rsidP="00C830DC">
            <w:pPr>
              <w:rPr>
                <w:rFonts w:ascii="Arial" w:hAnsi="Arial" w:cs="Arial"/>
                <w:sz w:val="24"/>
              </w:rPr>
            </w:pPr>
          </w:p>
        </w:tc>
      </w:tr>
    </w:tbl>
    <w:p w14:paraId="6FFCE26A" w14:textId="77777777" w:rsidR="00027D3B" w:rsidRPr="007830C8" w:rsidRDefault="00027D3B" w:rsidP="00027D3B">
      <w:pPr>
        <w:rPr>
          <w:rFonts w:ascii="Arial" w:hAnsi="Arial" w:cs="Arial"/>
        </w:rPr>
      </w:pPr>
    </w:p>
    <w:p w14:paraId="5386F9C9" w14:textId="77777777" w:rsidR="00027D3B" w:rsidRPr="007830C8" w:rsidRDefault="00027D3B" w:rsidP="00027D3B">
      <w:pPr>
        <w:pStyle w:val="Level1"/>
        <w:numPr>
          <w:ilvl w:val="0"/>
          <w:numId w:val="0"/>
        </w:numPr>
        <w:rPr>
          <w:sz w:val="22"/>
        </w:rPr>
      </w:pPr>
    </w:p>
    <w:p w14:paraId="7C2988D4" w14:textId="0CF4BB13" w:rsidR="00027D3B" w:rsidRPr="007830C8" w:rsidRDefault="008F659C" w:rsidP="00027D3B">
      <w:pPr>
        <w:pStyle w:val="Level1"/>
        <w:numPr>
          <w:ilvl w:val="0"/>
          <w:numId w:val="17"/>
        </w:numPr>
        <w:spacing w:before="240" w:after="400"/>
        <w:ind w:left="357" w:hanging="357"/>
        <w:rPr>
          <w:sz w:val="22"/>
        </w:rPr>
      </w:pPr>
      <w:r>
        <w:rPr>
          <w:sz w:val="22"/>
        </w:rPr>
        <w:t>No longer issuing Fixed Term Tenancies – from 1 November 2024</w:t>
      </w:r>
    </w:p>
    <w:p w14:paraId="60733409" w14:textId="2EE17434" w:rsidR="00027D3B" w:rsidRDefault="008F659C" w:rsidP="00027D3B">
      <w:pPr>
        <w:pStyle w:val="Level1"/>
        <w:numPr>
          <w:ilvl w:val="0"/>
          <w:numId w:val="17"/>
        </w:numPr>
        <w:spacing w:before="240" w:after="400"/>
        <w:ind w:left="357" w:hanging="357"/>
        <w:rPr>
          <w:sz w:val="22"/>
        </w:rPr>
      </w:pPr>
      <w:r>
        <w:rPr>
          <w:sz w:val="22"/>
        </w:rPr>
        <w:t>Applicants offered temporary accommodation will be offered a licence and no longer offered a</w:t>
      </w:r>
      <w:r w:rsidR="0045127C">
        <w:rPr>
          <w:sz w:val="22"/>
        </w:rPr>
        <w:t>n</w:t>
      </w:r>
      <w:r>
        <w:rPr>
          <w:sz w:val="22"/>
        </w:rPr>
        <w:t xml:space="preserve"> A</w:t>
      </w:r>
      <w:r w:rsidR="00FC2F4B">
        <w:rPr>
          <w:sz w:val="22"/>
        </w:rPr>
        <w:t>ssured Shorthold Tenancy</w:t>
      </w:r>
    </w:p>
    <w:p w14:paraId="043F17CF" w14:textId="77777777" w:rsidR="00B97629" w:rsidRDefault="00B97629" w:rsidP="00B97629">
      <w:pPr>
        <w:pStyle w:val="Level1"/>
        <w:numPr>
          <w:ilvl w:val="0"/>
          <w:numId w:val="0"/>
        </w:numPr>
        <w:spacing w:before="240" w:after="400"/>
        <w:ind w:left="992" w:hanging="992"/>
        <w:rPr>
          <w:sz w:val="22"/>
        </w:rPr>
      </w:pPr>
    </w:p>
    <w:p w14:paraId="0B1037AF" w14:textId="77777777" w:rsidR="00B97629" w:rsidRDefault="00B97629" w:rsidP="00B97629">
      <w:pPr>
        <w:pStyle w:val="Level1"/>
        <w:numPr>
          <w:ilvl w:val="0"/>
          <w:numId w:val="0"/>
        </w:numPr>
        <w:spacing w:before="240" w:after="400"/>
        <w:ind w:left="992" w:hanging="992"/>
        <w:rPr>
          <w:sz w:val="22"/>
        </w:rPr>
      </w:pPr>
    </w:p>
    <w:p w14:paraId="738E4BAC" w14:textId="77777777" w:rsidR="00B97629" w:rsidRDefault="00B97629" w:rsidP="00B97629">
      <w:pPr>
        <w:pStyle w:val="Level1"/>
        <w:numPr>
          <w:ilvl w:val="0"/>
          <w:numId w:val="0"/>
        </w:numPr>
        <w:spacing w:before="240" w:after="400"/>
        <w:ind w:left="992" w:hanging="992"/>
        <w:rPr>
          <w:sz w:val="22"/>
        </w:rPr>
      </w:pPr>
    </w:p>
    <w:p w14:paraId="75A22F4D" w14:textId="77777777" w:rsidR="00B97629" w:rsidRDefault="00B97629" w:rsidP="00B97629">
      <w:pPr>
        <w:pStyle w:val="Level1"/>
        <w:numPr>
          <w:ilvl w:val="0"/>
          <w:numId w:val="0"/>
        </w:numPr>
        <w:spacing w:before="240" w:after="400"/>
        <w:ind w:left="992" w:hanging="992"/>
        <w:rPr>
          <w:sz w:val="22"/>
        </w:rPr>
      </w:pPr>
    </w:p>
    <w:p w14:paraId="4033484D" w14:textId="77777777" w:rsidR="00B97629" w:rsidRDefault="00B97629" w:rsidP="00B97629">
      <w:pPr>
        <w:pStyle w:val="Level1"/>
        <w:numPr>
          <w:ilvl w:val="0"/>
          <w:numId w:val="0"/>
        </w:numPr>
        <w:spacing w:before="240" w:after="400"/>
        <w:ind w:left="992" w:hanging="992"/>
        <w:rPr>
          <w:sz w:val="22"/>
        </w:rPr>
      </w:pPr>
    </w:p>
    <w:p w14:paraId="0DAFA18A" w14:textId="77777777" w:rsidR="00B97629" w:rsidRPr="007830C8" w:rsidRDefault="00B97629" w:rsidP="00B97629">
      <w:pPr>
        <w:pStyle w:val="Level1"/>
        <w:numPr>
          <w:ilvl w:val="0"/>
          <w:numId w:val="0"/>
        </w:numPr>
        <w:spacing w:before="240" w:after="400"/>
        <w:ind w:left="992" w:hanging="992"/>
        <w:rPr>
          <w:sz w:val="22"/>
        </w:rPr>
      </w:pPr>
    </w:p>
    <w:p w14:paraId="207AC9A3" w14:textId="6B37EA07" w:rsidR="00027D3B" w:rsidRPr="007830C8" w:rsidRDefault="00027D3B" w:rsidP="000C6034">
      <w:pPr>
        <w:pStyle w:val="Level1"/>
        <w:numPr>
          <w:ilvl w:val="0"/>
          <w:numId w:val="0"/>
        </w:numPr>
        <w:spacing w:before="240" w:after="400"/>
        <w:ind w:left="992" w:hanging="992"/>
        <w:rPr>
          <w:sz w:val="22"/>
        </w:rPr>
      </w:pPr>
    </w:p>
    <w:tbl>
      <w:tblPr>
        <w:tblStyle w:val="TableGrid"/>
        <w:tblpPr w:leftFromText="180" w:rightFromText="180" w:vertAnchor="text" w:horzAnchor="margin" w:tblpY="13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206"/>
        <w:gridCol w:w="6820"/>
      </w:tblGrid>
      <w:tr w:rsidR="000772B2" w:rsidRPr="007830C8" w14:paraId="4032DC1E" w14:textId="77777777" w:rsidTr="5EFC3282">
        <w:trPr>
          <w:tblHeader/>
        </w:trPr>
        <w:tc>
          <w:tcPr>
            <w:tcW w:w="5000" w:type="pct"/>
            <w:gridSpan w:val="2"/>
            <w:shd w:val="clear" w:color="auto" w:fill="595959" w:themeFill="text1" w:themeFillTint="A6"/>
            <w:hideMark/>
          </w:tcPr>
          <w:p w14:paraId="738E968F" w14:textId="77777777" w:rsidR="000772B2" w:rsidRPr="007830C8" w:rsidRDefault="000772B2" w:rsidP="000772B2">
            <w:pPr>
              <w:spacing w:before="120" w:after="120"/>
              <w:rPr>
                <w:rFonts w:ascii="Arial" w:hAnsi="Arial" w:cs="Arial"/>
              </w:rPr>
            </w:pPr>
            <w:r w:rsidRPr="007830C8">
              <w:rPr>
                <w:rFonts w:ascii="Arial" w:hAnsi="Arial" w:cs="Arial"/>
                <w:b/>
                <w:bCs/>
                <w:caps/>
                <w:color w:val="FFFFFF" w:themeColor="background1"/>
                <w:sz w:val="24"/>
                <w:szCs w:val="24"/>
              </w:rPr>
              <w:lastRenderedPageBreak/>
              <w:t>RELATED POLICY DOCUMENTS AND supporting documents</w:t>
            </w:r>
          </w:p>
        </w:tc>
      </w:tr>
      <w:tr w:rsidR="000772B2" w:rsidRPr="007830C8" w14:paraId="044AAEDD" w14:textId="77777777" w:rsidTr="5EFC3282">
        <w:trPr>
          <w:tblHeader/>
        </w:trPr>
        <w:tc>
          <w:tcPr>
            <w:tcW w:w="1222" w:type="pct"/>
            <w:shd w:val="clear" w:color="auto" w:fill="auto"/>
            <w:hideMark/>
          </w:tcPr>
          <w:p w14:paraId="7A334196" w14:textId="77777777" w:rsidR="000772B2" w:rsidRPr="007830C8" w:rsidRDefault="000772B2" w:rsidP="000772B2">
            <w:pPr>
              <w:spacing w:before="120" w:after="120"/>
              <w:rPr>
                <w:rFonts w:ascii="Arial" w:hAnsi="Arial" w:cs="Arial"/>
                <w:b/>
                <w:bCs/>
                <w:szCs w:val="20"/>
              </w:rPr>
            </w:pPr>
            <w:r w:rsidRPr="007830C8">
              <w:rPr>
                <w:rFonts w:ascii="Arial" w:hAnsi="Arial" w:cs="Arial"/>
                <w:b/>
                <w:bCs/>
                <w:szCs w:val="20"/>
              </w:rPr>
              <w:t xml:space="preserve">Legislation </w:t>
            </w:r>
          </w:p>
        </w:tc>
        <w:tc>
          <w:tcPr>
            <w:tcW w:w="3778" w:type="pct"/>
            <w:shd w:val="clear" w:color="auto" w:fill="auto"/>
            <w:hideMark/>
          </w:tcPr>
          <w:p w14:paraId="2D0C9D05" w14:textId="3C60980E" w:rsidR="000222EB" w:rsidRDefault="5CEB5D1C" w:rsidP="000772B2">
            <w:pPr>
              <w:spacing w:before="120" w:after="120"/>
              <w:rPr>
                <w:rFonts w:ascii="Arial" w:hAnsi="Arial" w:cs="Arial"/>
              </w:rPr>
            </w:pPr>
            <w:r w:rsidRPr="5EFC3282">
              <w:rPr>
                <w:rFonts w:ascii="Arial" w:hAnsi="Arial" w:cs="Arial"/>
              </w:rPr>
              <w:t>Regulator of Social Housing Tenancy Standard</w:t>
            </w:r>
          </w:p>
          <w:p w14:paraId="5DFCAA69" w14:textId="50026BB8" w:rsidR="00FF78B5" w:rsidRDefault="0A43F020" w:rsidP="000772B2">
            <w:pPr>
              <w:spacing w:before="120" w:after="120"/>
              <w:rPr>
                <w:rFonts w:ascii="Arial" w:hAnsi="Arial" w:cs="Arial"/>
              </w:rPr>
            </w:pPr>
            <w:r w:rsidRPr="5EFC3282">
              <w:rPr>
                <w:rFonts w:ascii="Arial" w:hAnsi="Arial" w:cs="Arial"/>
              </w:rPr>
              <w:t xml:space="preserve">Housing </w:t>
            </w:r>
            <w:r w:rsidR="00D774F3">
              <w:rPr>
                <w:rFonts w:ascii="Arial" w:hAnsi="Arial" w:cs="Arial"/>
              </w:rPr>
              <w:t xml:space="preserve">and Planning </w:t>
            </w:r>
            <w:r w:rsidRPr="5EFC3282">
              <w:rPr>
                <w:rFonts w:ascii="Arial" w:hAnsi="Arial" w:cs="Arial"/>
              </w:rPr>
              <w:t xml:space="preserve">Act </w:t>
            </w:r>
            <w:r w:rsidR="00D774F3">
              <w:rPr>
                <w:rFonts w:ascii="Arial" w:hAnsi="Arial" w:cs="Arial"/>
              </w:rPr>
              <w:t>2016</w:t>
            </w:r>
          </w:p>
          <w:p w14:paraId="48DD9CC6" w14:textId="7A59B188" w:rsidR="00E26F88" w:rsidRDefault="2C9718E8" w:rsidP="000772B2">
            <w:pPr>
              <w:spacing w:before="120" w:after="120"/>
              <w:rPr>
                <w:rFonts w:ascii="Arial" w:hAnsi="Arial" w:cs="Arial"/>
              </w:rPr>
            </w:pPr>
            <w:r w:rsidRPr="5EFC3282">
              <w:rPr>
                <w:rFonts w:ascii="Arial" w:hAnsi="Arial" w:cs="Arial"/>
              </w:rPr>
              <w:t>Localism Act 2011</w:t>
            </w:r>
          </w:p>
          <w:p w14:paraId="7A1552F4" w14:textId="2D651041" w:rsidR="00BC45F0" w:rsidRDefault="00BC45F0" w:rsidP="000772B2">
            <w:pPr>
              <w:spacing w:before="120" w:after="120"/>
              <w:rPr>
                <w:rFonts w:ascii="Arial" w:hAnsi="Arial" w:cs="Arial"/>
              </w:rPr>
            </w:pPr>
            <w:r>
              <w:rPr>
                <w:rFonts w:ascii="Arial" w:hAnsi="Arial" w:cs="Arial"/>
              </w:rPr>
              <w:t>Equality Act 2010</w:t>
            </w:r>
          </w:p>
          <w:p w14:paraId="78E4987D" w14:textId="5F6841B3" w:rsidR="00BC45F0" w:rsidRDefault="00BC45F0" w:rsidP="000772B2">
            <w:pPr>
              <w:spacing w:before="120" w:after="120"/>
              <w:rPr>
                <w:rFonts w:ascii="Arial" w:hAnsi="Arial" w:cs="Arial"/>
              </w:rPr>
            </w:pPr>
            <w:r>
              <w:rPr>
                <w:rFonts w:ascii="Arial" w:hAnsi="Arial" w:cs="Arial"/>
              </w:rPr>
              <w:t>Family Law Act 1996</w:t>
            </w:r>
          </w:p>
          <w:p w14:paraId="3DC9465F" w14:textId="22BE0014" w:rsidR="00BC45F0" w:rsidRDefault="00DD3634" w:rsidP="000772B2">
            <w:pPr>
              <w:spacing w:before="120" w:after="120"/>
              <w:rPr>
                <w:rFonts w:ascii="Arial" w:hAnsi="Arial" w:cs="Arial"/>
              </w:rPr>
            </w:pPr>
            <w:r>
              <w:rPr>
                <w:rFonts w:ascii="Arial" w:hAnsi="Arial" w:cs="Arial"/>
              </w:rPr>
              <w:t>Protection from Eviction Act 1977</w:t>
            </w:r>
          </w:p>
          <w:p w14:paraId="1B681DC4" w14:textId="58FBB567" w:rsidR="000772B2" w:rsidRPr="007830C8" w:rsidRDefault="000772B2" w:rsidP="000772B2">
            <w:pPr>
              <w:spacing w:before="120" w:after="120"/>
              <w:rPr>
                <w:rFonts w:ascii="Arial" w:hAnsi="Arial" w:cs="Arial"/>
              </w:rPr>
            </w:pPr>
          </w:p>
        </w:tc>
      </w:tr>
      <w:tr w:rsidR="000772B2" w:rsidRPr="007830C8" w14:paraId="79FC69E7" w14:textId="77777777" w:rsidTr="5EFC3282">
        <w:trPr>
          <w:tblHeader/>
        </w:trPr>
        <w:tc>
          <w:tcPr>
            <w:tcW w:w="1222" w:type="pct"/>
            <w:shd w:val="clear" w:color="auto" w:fill="E6E7E8"/>
            <w:hideMark/>
          </w:tcPr>
          <w:p w14:paraId="402312C7" w14:textId="77777777" w:rsidR="000772B2" w:rsidRPr="007830C8" w:rsidRDefault="000772B2" w:rsidP="000772B2">
            <w:pPr>
              <w:spacing w:before="120" w:after="120"/>
              <w:rPr>
                <w:rFonts w:ascii="Arial" w:hAnsi="Arial" w:cs="Arial"/>
                <w:b/>
                <w:bCs/>
                <w:szCs w:val="20"/>
              </w:rPr>
            </w:pPr>
            <w:r w:rsidRPr="007830C8">
              <w:rPr>
                <w:rFonts w:ascii="Arial" w:hAnsi="Arial" w:cs="Arial"/>
                <w:b/>
                <w:bCs/>
                <w:szCs w:val="20"/>
              </w:rPr>
              <w:t>Related Policies</w:t>
            </w:r>
          </w:p>
        </w:tc>
        <w:tc>
          <w:tcPr>
            <w:tcW w:w="3778" w:type="pct"/>
            <w:shd w:val="clear" w:color="auto" w:fill="E6E7E8"/>
            <w:hideMark/>
          </w:tcPr>
          <w:p w14:paraId="0118A0BE" w14:textId="4D975402" w:rsidR="000772B2" w:rsidRPr="007830C8" w:rsidRDefault="437666D3" w:rsidP="5EFC3282">
            <w:pPr>
              <w:spacing w:before="120" w:after="120"/>
              <w:rPr>
                <w:rFonts w:ascii="Arial" w:hAnsi="Arial" w:cs="Arial"/>
                <w:color w:val="E30918"/>
                <w:u w:val="single"/>
              </w:rPr>
            </w:pPr>
            <w:r w:rsidRPr="5EFC3282">
              <w:rPr>
                <w:rFonts w:ascii="Arial" w:hAnsi="Arial" w:cs="Arial"/>
              </w:rPr>
              <w:t xml:space="preserve">Rents Policy </w:t>
            </w:r>
          </w:p>
          <w:p w14:paraId="6E3BECE8" w14:textId="77777777" w:rsidR="000924E6" w:rsidRDefault="0136C1DA" w:rsidP="5EFC3282">
            <w:pPr>
              <w:spacing w:before="120" w:after="120"/>
              <w:rPr>
                <w:rFonts w:ascii="Arial" w:hAnsi="Arial" w:cs="Arial"/>
              </w:rPr>
            </w:pPr>
            <w:r w:rsidRPr="5EFC3282">
              <w:rPr>
                <w:rFonts w:ascii="Arial" w:hAnsi="Arial" w:cs="Arial"/>
              </w:rPr>
              <w:t>Housing Options</w:t>
            </w:r>
          </w:p>
          <w:p w14:paraId="403DCF11" w14:textId="77777777" w:rsidR="000924E6" w:rsidRDefault="000924E6" w:rsidP="5EFC3282">
            <w:pPr>
              <w:spacing w:before="120" w:after="120"/>
              <w:rPr>
                <w:rFonts w:ascii="Arial" w:hAnsi="Arial" w:cs="Arial"/>
              </w:rPr>
            </w:pPr>
            <w:r>
              <w:rPr>
                <w:rFonts w:ascii="Arial" w:hAnsi="Arial" w:cs="Arial"/>
              </w:rPr>
              <w:t>Decant Policy</w:t>
            </w:r>
          </w:p>
          <w:p w14:paraId="1C942281" w14:textId="04BB3911" w:rsidR="000772B2" w:rsidRPr="007830C8" w:rsidRDefault="000924E6" w:rsidP="5EFC3282">
            <w:pPr>
              <w:spacing w:before="120" w:after="120"/>
              <w:rPr>
                <w:rFonts w:ascii="Arial" w:hAnsi="Arial" w:cs="Arial"/>
                <w:color w:val="E30918"/>
                <w:u w:val="single"/>
              </w:rPr>
            </w:pPr>
            <w:r>
              <w:rPr>
                <w:rFonts w:ascii="Arial" w:hAnsi="Arial" w:cs="Arial"/>
              </w:rPr>
              <w:t>Succession Policy</w:t>
            </w:r>
          </w:p>
        </w:tc>
      </w:tr>
      <w:tr w:rsidR="000772B2" w:rsidRPr="007830C8" w14:paraId="53C2A3A6" w14:textId="77777777" w:rsidTr="5EFC3282">
        <w:trPr>
          <w:tblHeader/>
        </w:trPr>
        <w:tc>
          <w:tcPr>
            <w:tcW w:w="1222" w:type="pct"/>
            <w:shd w:val="clear" w:color="auto" w:fill="E6E7E8"/>
            <w:hideMark/>
          </w:tcPr>
          <w:p w14:paraId="6377C837" w14:textId="77777777" w:rsidR="000772B2" w:rsidRPr="007830C8" w:rsidRDefault="000772B2" w:rsidP="000772B2">
            <w:pPr>
              <w:spacing w:before="120" w:after="120"/>
              <w:rPr>
                <w:rFonts w:ascii="Arial" w:hAnsi="Arial" w:cs="Arial"/>
                <w:b/>
                <w:bCs/>
                <w:szCs w:val="20"/>
              </w:rPr>
            </w:pPr>
            <w:r w:rsidRPr="007830C8">
              <w:rPr>
                <w:rFonts w:ascii="Arial" w:hAnsi="Arial" w:cs="Arial"/>
                <w:b/>
                <w:bCs/>
                <w:szCs w:val="20"/>
              </w:rPr>
              <w:t>Appendix</w:t>
            </w:r>
          </w:p>
        </w:tc>
        <w:tc>
          <w:tcPr>
            <w:tcW w:w="3778" w:type="pct"/>
            <w:shd w:val="clear" w:color="auto" w:fill="E6E7E8"/>
            <w:hideMark/>
          </w:tcPr>
          <w:p w14:paraId="107C3498" w14:textId="77777777" w:rsidR="0063706E" w:rsidRDefault="79007DEB" w:rsidP="5EFC3282">
            <w:pPr>
              <w:spacing w:before="120" w:after="120"/>
              <w:rPr>
                <w:rFonts w:ascii="Arial" w:hAnsi="Arial" w:cs="Arial"/>
              </w:rPr>
            </w:pPr>
            <w:r w:rsidRPr="5EFC3282">
              <w:rPr>
                <w:rFonts w:ascii="Arial" w:hAnsi="Arial" w:cs="Arial"/>
              </w:rPr>
              <w:t>Appendix 1 – Management of existing fixed term tenancies</w:t>
            </w:r>
          </w:p>
          <w:p w14:paraId="0548C538" w14:textId="4386A98B" w:rsidR="000772B2" w:rsidRPr="007830C8" w:rsidRDefault="000772B2" w:rsidP="5EFC3282">
            <w:pPr>
              <w:spacing w:before="120" w:after="120"/>
              <w:rPr>
                <w:rFonts w:ascii="Arial" w:hAnsi="Arial" w:cs="Arial"/>
              </w:rPr>
            </w:pPr>
          </w:p>
        </w:tc>
      </w:tr>
      <w:tr w:rsidR="000772B2" w:rsidRPr="007830C8" w14:paraId="2662F9B6" w14:textId="77777777" w:rsidTr="5EFC3282">
        <w:trPr>
          <w:tblHeader/>
        </w:trPr>
        <w:tc>
          <w:tcPr>
            <w:tcW w:w="1222" w:type="pct"/>
            <w:shd w:val="clear" w:color="auto" w:fill="auto"/>
            <w:hideMark/>
          </w:tcPr>
          <w:p w14:paraId="6D0CFAE2" w14:textId="77777777" w:rsidR="000772B2" w:rsidRPr="007830C8" w:rsidRDefault="000772B2" w:rsidP="000772B2">
            <w:pPr>
              <w:spacing w:before="120" w:after="120"/>
              <w:rPr>
                <w:rFonts w:ascii="Arial" w:hAnsi="Arial" w:cs="Arial"/>
                <w:b/>
                <w:bCs/>
                <w:szCs w:val="20"/>
              </w:rPr>
            </w:pPr>
            <w:r w:rsidRPr="007830C8">
              <w:rPr>
                <w:rFonts w:ascii="Arial" w:hAnsi="Arial" w:cs="Arial"/>
                <w:b/>
                <w:bCs/>
                <w:szCs w:val="20"/>
              </w:rPr>
              <w:t>Forms</w:t>
            </w:r>
          </w:p>
        </w:tc>
        <w:tc>
          <w:tcPr>
            <w:tcW w:w="3778" w:type="pct"/>
            <w:shd w:val="clear" w:color="auto" w:fill="auto"/>
            <w:hideMark/>
          </w:tcPr>
          <w:p w14:paraId="2601994E" w14:textId="0F760376" w:rsidR="000772B2" w:rsidRPr="007830C8" w:rsidRDefault="000772B2" w:rsidP="000772B2">
            <w:pPr>
              <w:spacing w:before="120" w:after="120"/>
              <w:rPr>
                <w:rFonts w:ascii="Arial" w:hAnsi="Arial" w:cs="Arial"/>
                <w:b/>
                <w:bCs/>
                <w:szCs w:val="20"/>
              </w:rPr>
            </w:pPr>
            <w:r w:rsidRPr="007830C8">
              <w:rPr>
                <w:rFonts w:ascii="Arial" w:hAnsi="Arial" w:cs="Arial"/>
                <w:szCs w:val="20"/>
              </w:rPr>
              <w:t>N/A</w:t>
            </w:r>
          </w:p>
        </w:tc>
      </w:tr>
    </w:tbl>
    <w:p w14:paraId="555D63D5" w14:textId="22CE49DB" w:rsidR="000772B2" w:rsidRPr="000772B2" w:rsidRDefault="00027D3B" w:rsidP="00410031">
      <w:pPr>
        <w:pStyle w:val="Level1"/>
        <w:numPr>
          <w:ilvl w:val="0"/>
          <w:numId w:val="0"/>
        </w:numPr>
        <w:spacing w:before="240" w:after="400"/>
        <w:rPr>
          <w:sz w:val="22"/>
        </w:rPr>
      </w:pPr>
      <w:r>
        <w:br w:type="page"/>
      </w:r>
    </w:p>
    <w:p w14:paraId="0A91627C" w14:textId="705FE4D8" w:rsidR="00EC747E" w:rsidRPr="00E15D7E" w:rsidRDefault="00EC747E" w:rsidP="00E15D7E">
      <w:pPr>
        <w:spacing w:before="81"/>
        <w:ind w:left="720" w:hanging="720"/>
        <w:rPr>
          <w:b/>
          <w:sz w:val="24"/>
        </w:rPr>
      </w:pPr>
      <w:bookmarkStart w:id="1" w:name="Appendix1"/>
      <w:r w:rsidRPr="00E15D7E">
        <w:rPr>
          <w:b/>
          <w:sz w:val="24"/>
        </w:rPr>
        <w:lastRenderedPageBreak/>
        <w:t>Appendix</w:t>
      </w:r>
      <w:r w:rsidRPr="00E15D7E">
        <w:rPr>
          <w:b/>
          <w:spacing w:val="-3"/>
          <w:sz w:val="24"/>
        </w:rPr>
        <w:t xml:space="preserve"> </w:t>
      </w:r>
      <w:r w:rsidRPr="00E15D7E">
        <w:rPr>
          <w:b/>
          <w:sz w:val="24"/>
        </w:rPr>
        <w:t>1</w:t>
      </w:r>
      <w:bookmarkEnd w:id="1"/>
      <w:r w:rsidRPr="00E15D7E">
        <w:rPr>
          <w:b/>
          <w:spacing w:val="-1"/>
          <w:sz w:val="24"/>
        </w:rPr>
        <w:t xml:space="preserve"> </w:t>
      </w:r>
      <w:r w:rsidRPr="00E15D7E">
        <w:rPr>
          <w:b/>
          <w:sz w:val="24"/>
        </w:rPr>
        <w:t>-</w:t>
      </w:r>
      <w:r w:rsidRPr="00E15D7E">
        <w:rPr>
          <w:b/>
          <w:spacing w:val="-4"/>
          <w:sz w:val="24"/>
        </w:rPr>
        <w:t xml:space="preserve"> </w:t>
      </w:r>
      <w:r w:rsidRPr="00E15D7E">
        <w:rPr>
          <w:b/>
          <w:sz w:val="24"/>
        </w:rPr>
        <w:t>management</w:t>
      </w:r>
      <w:r w:rsidRPr="00E15D7E">
        <w:rPr>
          <w:b/>
          <w:spacing w:val="-4"/>
          <w:sz w:val="24"/>
        </w:rPr>
        <w:t xml:space="preserve"> </w:t>
      </w:r>
      <w:r w:rsidRPr="00E15D7E">
        <w:rPr>
          <w:b/>
          <w:sz w:val="24"/>
        </w:rPr>
        <w:t>and</w:t>
      </w:r>
      <w:r w:rsidRPr="00E15D7E">
        <w:rPr>
          <w:b/>
          <w:spacing w:val="-3"/>
          <w:sz w:val="24"/>
        </w:rPr>
        <w:t xml:space="preserve"> </w:t>
      </w:r>
      <w:r w:rsidRPr="00E15D7E">
        <w:rPr>
          <w:b/>
          <w:sz w:val="24"/>
        </w:rPr>
        <w:t>conversion</w:t>
      </w:r>
      <w:r w:rsidRPr="00E15D7E">
        <w:rPr>
          <w:b/>
          <w:spacing w:val="-6"/>
          <w:sz w:val="24"/>
        </w:rPr>
        <w:t xml:space="preserve"> </w:t>
      </w:r>
      <w:r w:rsidRPr="00E15D7E">
        <w:rPr>
          <w:b/>
          <w:sz w:val="24"/>
        </w:rPr>
        <w:t>of</w:t>
      </w:r>
      <w:r w:rsidRPr="00E15D7E">
        <w:rPr>
          <w:b/>
          <w:spacing w:val="-3"/>
          <w:sz w:val="24"/>
        </w:rPr>
        <w:t xml:space="preserve"> </w:t>
      </w:r>
      <w:r w:rsidRPr="00E15D7E">
        <w:rPr>
          <w:b/>
          <w:sz w:val="24"/>
        </w:rPr>
        <w:t>fixed</w:t>
      </w:r>
      <w:r w:rsidRPr="00E15D7E">
        <w:rPr>
          <w:b/>
          <w:spacing w:val="-3"/>
          <w:sz w:val="24"/>
        </w:rPr>
        <w:t xml:space="preserve"> </w:t>
      </w:r>
      <w:r w:rsidRPr="00E15D7E">
        <w:rPr>
          <w:b/>
          <w:sz w:val="24"/>
        </w:rPr>
        <w:t>term</w:t>
      </w:r>
      <w:r w:rsidRPr="00E15D7E">
        <w:rPr>
          <w:b/>
          <w:spacing w:val="-3"/>
          <w:sz w:val="24"/>
        </w:rPr>
        <w:t xml:space="preserve"> </w:t>
      </w:r>
      <w:r w:rsidRPr="00E15D7E">
        <w:rPr>
          <w:b/>
          <w:sz w:val="24"/>
        </w:rPr>
        <w:t>tenancies -</w:t>
      </w:r>
      <w:r w:rsidRPr="00E15D7E">
        <w:rPr>
          <w:b/>
          <w:spacing w:val="-4"/>
          <w:sz w:val="24"/>
        </w:rPr>
        <w:t xml:space="preserve"> </w:t>
      </w:r>
      <w:r w:rsidRPr="00E15D7E">
        <w:rPr>
          <w:b/>
          <w:sz w:val="24"/>
        </w:rPr>
        <w:t>social</w:t>
      </w:r>
      <w:r w:rsidRPr="00E15D7E">
        <w:rPr>
          <w:b/>
          <w:spacing w:val="-5"/>
          <w:sz w:val="24"/>
        </w:rPr>
        <w:t xml:space="preserve"> </w:t>
      </w:r>
      <w:r w:rsidRPr="00E15D7E">
        <w:rPr>
          <w:b/>
          <w:sz w:val="24"/>
        </w:rPr>
        <w:t>and affordable</w:t>
      </w:r>
      <w:r w:rsidR="005C3065">
        <w:rPr>
          <w:b/>
          <w:sz w:val="24"/>
        </w:rPr>
        <w:t xml:space="preserve"> </w:t>
      </w:r>
      <w:r w:rsidRPr="00E15D7E">
        <w:rPr>
          <w:b/>
          <w:sz w:val="24"/>
        </w:rPr>
        <w:t>rent homes (general needs and sheltered)</w:t>
      </w:r>
    </w:p>
    <w:p w14:paraId="067BE06E" w14:textId="770927E5" w:rsidR="00EC747E" w:rsidRPr="00E15D7E" w:rsidRDefault="00401E57" w:rsidP="00E15D7E">
      <w:pPr>
        <w:pStyle w:val="BodyText"/>
        <w:spacing w:before="199"/>
        <w:ind w:left="113" w:right="227"/>
        <w:jc w:val="both"/>
        <w:rPr>
          <w:sz w:val="22"/>
          <w:szCs w:val="22"/>
        </w:rPr>
      </w:pPr>
      <w:r w:rsidRPr="00E15D7E">
        <w:rPr>
          <w:sz w:val="22"/>
          <w:szCs w:val="22"/>
        </w:rPr>
        <w:t>West Kent</w:t>
      </w:r>
      <w:r w:rsidR="00EC747E" w:rsidRPr="00E15D7E">
        <w:rPr>
          <w:spacing w:val="-4"/>
          <w:sz w:val="22"/>
          <w:szCs w:val="22"/>
        </w:rPr>
        <w:t xml:space="preserve"> </w:t>
      </w:r>
      <w:r w:rsidR="00EC747E" w:rsidRPr="00E15D7E">
        <w:rPr>
          <w:sz w:val="22"/>
          <w:szCs w:val="22"/>
        </w:rPr>
        <w:t>no</w:t>
      </w:r>
      <w:r w:rsidR="00EC747E" w:rsidRPr="00E15D7E">
        <w:rPr>
          <w:spacing w:val="-5"/>
          <w:sz w:val="22"/>
          <w:szCs w:val="22"/>
        </w:rPr>
        <w:t xml:space="preserve"> </w:t>
      </w:r>
      <w:r w:rsidR="00EC747E" w:rsidRPr="00E15D7E">
        <w:rPr>
          <w:sz w:val="22"/>
          <w:szCs w:val="22"/>
        </w:rPr>
        <w:t>longer</w:t>
      </w:r>
      <w:r w:rsidR="00EC747E" w:rsidRPr="00E15D7E">
        <w:rPr>
          <w:spacing w:val="-3"/>
          <w:sz w:val="22"/>
          <w:szCs w:val="22"/>
        </w:rPr>
        <w:t xml:space="preserve"> </w:t>
      </w:r>
      <w:r w:rsidR="00EC747E" w:rsidRPr="00E15D7E">
        <w:rPr>
          <w:sz w:val="22"/>
          <w:szCs w:val="22"/>
        </w:rPr>
        <w:t>usually</w:t>
      </w:r>
      <w:r w:rsidR="00EC747E" w:rsidRPr="00E15D7E">
        <w:rPr>
          <w:spacing w:val="-3"/>
          <w:sz w:val="22"/>
          <w:szCs w:val="22"/>
        </w:rPr>
        <w:t xml:space="preserve"> </w:t>
      </w:r>
      <w:r w:rsidR="00EC747E" w:rsidRPr="00E15D7E">
        <w:rPr>
          <w:sz w:val="22"/>
          <w:szCs w:val="22"/>
        </w:rPr>
        <w:t>issues</w:t>
      </w:r>
      <w:r w:rsidR="00EC747E" w:rsidRPr="00E15D7E">
        <w:rPr>
          <w:spacing w:val="-3"/>
          <w:sz w:val="22"/>
          <w:szCs w:val="22"/>
        </w:rPr>
        <w:t xml:space="preserve"> </w:t>
      </w:r>
      <w:r w:rsidR="00EC747E" w:rsidRPr="00E15D7E">
        <w:rPr>
          <w:sz w:val="22"/>
          <w:szCs w:val="22"/>
        </w:rPr>
        <w:t>fixed</w:t>
      </w:r>
      <w:r w:rsidR="00EC747E" w:rsidRPr="00E15D7E">
        <w:rPr>
          <w:spacing w:val="-3"/>
          <w:sz w:val="22"/>
          <w:szCs w:val="22"/>
        </w:rPr>
        <w:t xml:space="preserve"> </w:t>
      </w:r>
      <w:r w:rsidR="00EC747E" w:rsidRPr="00E15D7E">
        <w:rPr>
          <w:sz w:val="22"/>
          <w:szCs w:val="22"/>
        </w:rPr>
        <w:t>term</w:t>
      </w:r>
      <w:r w:rsidR="00EC747E" w:rsidRPr="00E15D7E">
        <w:rPr>
          <w:spacing w:val="-3"/>
          <w:sz w:val="22"/>
          <w:szCs w:val="22"/>
        </w:rPr>
        <w:t xml:space="preserve"> </w:t>
      </w:r>
      <w:r w:rsidR="00EC747E" w:rsidRPr="00E15D7E">
        <w:rPr>
          <w:sz w:val="22"/>
          <w:szCs w:val="22"/>
        </w:rPr>
        <w:t>tenancies</w:t>
      </w:r>
      <w:r w:rsidR="00EC747E" w:rsidRPr="00E15D7E">
        <w:rPr>
          <w:spacing w:val="-3"/>
          <w:sz w:val="22"/>
          <w:szCs w:val="22"/>
        </w:rPr>
        <w:t xml:space="preserve"> </w:t>
      </w:r>
      <w:r w:rsidR="00EC747E" w:rsidRPr="00E15D7E">
        <w:rPr>
          <w:sz w:val="22"/>
          <w:szCs w:val="22"/>
        </w:rPr>
        <w:t>for</w:t>
      </w:r>
      <w:r w:rsidR="00EC747E" w:rsidRPr="00E15D7E">
        <w:rPr>
          <w:spacing w:val="-6"/>
          <w:sz w:val="22"/>
          <w:szCs w:val="22"/>
        </w:rPr>
        <w:t xml:space="preserve"> </w:t>
      </w:r>
      <w:r w:rsidR="00EC747E" w:rsidRPr="00E15D7E">
        <w:rPr>
          <w:sz w:val="22"/>
          <w:szCs w:val="22"/>
        </w:rPr>
        <w:t>new</w:t>
      </w:r>
      <w:r w:rsidR="00EC747E" w:rsidRPr="00E15D7E">
        <w:rPr>
          <w:spacing w:val="-3"/>
          <w:sz w:val="22"/>
          <w:szCs w:val="22"/>
        </w:rPr>
        <w:t xml:space="preserve"> </w:t>
      </w:r>
      <w:proofErr w:type="gramStart"/>
      <w:r w:rsidR="00EC747E" w:rsidRPr="00E15D7E">
        <w:rPr>
          <w:sz w:val="22"/>
          <w:szCs w:val="22"/>
        </w:rPr>
        <w:t>tenants</w:t>
      </w:r>
      <w:proofErr w:type="gramEnd"/>
      <w:r w:rsidR="00EC747E" w:rsidRPr="00E15D7E">
        <w:rPr>
          <w:sz w:val="22"/>
          <w:szCs w:val="22"/>
        </w:rPr>
        <w:t xml:space="preserve"> but</w:t>
      </w:r>
      <w:r w:rsidR="00EC747E" w:rsidRPr="00E15D7E">
        <w:rPr>
          <w:spacing w:val="-3"/>
          <w:sz w:val="22"/>
          <w:szCs w:val="22"/>
        </w:rPr>
        <w:t xml:space="preserve"> </w:t>
      </w:r>
      <w:r w:rsidR="00EC747E" w:rsidRPr="00E15D7E">
        <w:rPr>
          <w:sz w:val="22"/>
          <w:szCs w:val="22"/>
        </w:rPr>
        <w:t>we still have some tenants on fixed term tenancies.</w:t>
      </w:r>
    </w:p>
    <w:p w14:paraId="595D83F9" w14:textId="77777777" w:rsidR="00EC747E" w:rsidRPr="00E15D7E" w:rsidRDefault="00EC747E" w:rsidP="00E15D7E">
      <w:pPr>
        <w:pStyle w:val="BodyText"/>
        <w:spacing w:before="199"/>
        <w:ind w:left="113"/>
        <w:jc w:val="both"/>
        <w:rPr>
          <w:sz w:val="22"/>
          <w:szCs w:val="22"/>
        </w:rPr>
      </w:pPr>
      <w:r w:rsidRPr="00E15D7E">
        <w:rPr>
          <w:sz w:val="22"/>
          <w:szCs w:val="22"/>
        </w:rPr>
        <w:t>If</w:t>
      </w:r>
      <w:r w:rsidRPr="00E15D7E">
        <w:rPr>
          <w:spacing w:val="-3"/>
          <w:sz w:val="22"/>
          <w:szCs w:val="22"/>
        </w:rPr>
        <w:t xml:space="preserve"> </w:t>
      </w:r>
      <w:r w:rsidRPr="00E15D7E">
        <w:rPr>
          <w:sz w:val="22"/>
          <w:szCs w:val="22"/>
        </w:rPr>
        <w:t>you</w:t>
      </w:r>
      <w:r w:rsidRPr="00E15D7E">
        <w:rPr>
          <w:spacing w:val="-4"/>
          <w:sz w:val="22"/>
          <w:szCs w:val="22"/>
        </w:rPr>
        <w:t xml:space="preserve"> </w:t>
      </w:r>
      <w:r w:rsidRPr="00E15D7E">
        <w:rPr>
          <w:sz w:val="22"/>
          <w:szCs w:val="22"/>
        </w:rPr>
        <w:t>are</w:t>
      </w:r>
      <w:r w:rsidRPr="00E15D7E">
        <w:rPr>
          <w:spacing w:val="-4"/>
          <w:sz w:val="22"/>
          <w:szCs w:val="22"/>
        </w:rPr>
        <w:t xml:space="preserve"> </w:t>
      </w:r>
      <w:r w:rsidRPr="00E15D7E">
        <w:rPr>
          <w:sz w:val="22"/>
          <w:szCs w:val="22"/>
        </w:rPr>
        <w:t>managing</w:t>
      </w:r>
      <w:r w:rsidRPr="00E15D7E">
        <w:rPr>
          <w:spacing w:val="-2"/>
          <w:sz w:val="22"/>
          <w:szCs w:val="22"/>
        </w:rPr>
        <w:t xml:space="preserve"> </w:t>
      </w:r>
      <w:r w:rsidRPr="00E15D7E">
        <w:rPr>
          <w:sz w:val="22"/>
          <w:szCs w:val="22"/>
        </w:rPr>
        <w:t>your</w:t>
      </w:r>
      <w:r w:rsidRPr="00E15D7E">
        <w:rPr>
          <w:spacing w:val="-3"/>
          <w:sz w:val="22"/>
          <w:szCs w:val="22"/>
        </w:rPr>
        <w:t xml:space="preserve"> </w:t>
      </w:r>
      <w:r w:rsidRPr="00E15D7E">
        <w:rPr>
          <w:sz w:val="22"/>
          <w:szCs w:val="22"/>
        </w:rPr>
        <w:t>fixed</w:t>
      </w:r>
      <w:r w:rsidRPr="00E15D7E">
        <w:rPr>
          <w:spacing w:val="-3"/>
          <w:sz w:val="22"/>
          <w:szCs w:val="22"/>
        </w:rPr>
        <w:t xml:space="preserve"> </w:t>
      </w:r>
      <w:r w:rsidRPr="00E15D7E">
        <w:rPr>
          <w:sz w:val="22"/>
          <w:szCs w:val="22"/>
        </w:rPr>
        <w:t>term</w:t>
      </w:r>
      <w:r w:rsidRPr="00E15D7E">
        <w:rPr>
          <w:spacing w:val="-4"/>
          <w:sz w:val="22"/>
          <w:szCs w:val="22"/>
        </w:rPr>
        <w:t xml:space="preserve"> </w:t>
      </w:r>
      <w:r w:rsidRPr="00E15D7E">
        <w:rPr>
          <w:sz w:val="22"/>
          <w:szCs w:val="22"/>
        </w:rPr>
        <w:t>tenancy</w:t>
      </w:r>
      <w:r w:rsidRPr="00E15D7E">
        <w:rPr>
          <w:spacing w:val="-4"/>
          <w:sz w:val="22"/>
          <w:szCs w:val="22"/>
        </w:rPr>
        <w:t xml:space="preserve"> </w:t>
      </w:r>
      <w:r w:rsidRPr="00E15D7E">
        <w:rPr>
          <w:sz w:val="22"/>
          <w:szCs w:val="22"/>
        </w:rPr>
        <w:t>appropriately</w:t>
      </w:r>
      <w:r w:rsidRPr="00E15D7E">
        <w:rPr>
          <w:spacing w:val="-3"/>
          <w:sz w:val="22"/>
          <w:szCs w:val="22"/>
        </w:rPr>
        <w:t xml:space="preserve"> </w:t>
      </w:r>
      <w:r w:rsidRPr="00E15D7E">
        <w:rPr>
          <w:sz w:val="22"/>
          <w:szCs w:val="22"/>
        </w:rPr>
        <w:t>and</w:t>
      </w:r>
      <w:r w:rsidRPr="00E15D7E">
        <w:rPr>
          <w:spacing w:val="-3"/>
          <w:sz w:val="22"/>
          <w:szCs w:val="22"/>
        </w:rPr>
        <w:t xml:space="preserve"> </w:t>
      </w:r>
      <w:r w:rsidRPr="00E15D7E">
        <w:rPr>
          <w:sz w:val="22"/>
          <w:szCs w:val="22"/>
        </w:rPr>
        <w:t>complying</w:t>
      </w:r>
      <w:r w:rsidRPr="00E15D7E">
        <w:rPr>
          <w:spacing w:val="-2"/>
          <w:sz w:val="22"/>
          <w:szCs w:val="22"/>
        </w:rPr>
        <w:t xml:space="preserve"> </w:t>
      </w:r>
      <w:r w:rsidRPr="00E15D7E">
        <w:rPr>
          <w:sz w:val="22"/>
          <w:szCs w:val="22"/>
        </w:rPr>
        <w:t>with</w:t>
      </w:r>
      <w:r w:rsidRPr="00E15D7E">
        <w:rPr>
          <w:spacing w:val="-3"/>
          <w:sz w:val="22"/>
          <w:szCs w:val="22"/>
        </w:rPr>
        <w:t xml:space="preserve"> </w:t>
      </w:r>
      <w:r w:rsidRPr="00E15D7E">
        <w:rPr>
          <w:sz w:val="22"/>
          <w:szCs w:val="22"/>
        </w:rPr>
        <w:t>the</w:t>
      </w:r>
      <w:r w:rsidRPr="00E15D7E">
        <w:rPr>
          <w:spacing w:val="-4"/>
          <w:sz w:val="22"/>
          <w:szCs w:val="22"/>
        </w:rPr>
        <w:t xml:space="preserve"> </w:t>
      </w:r>
      <w:r w:rsidRPr="00E15D7E">
        <w:rPr>
          <w:sz w:val="22"/>
          <w:szCs w:val="22"/>
        </w:rPr>
        <w:t>terms</w:t>
      </w:r>
      <w:r w:rsidRPr="00E15D7E">
        <w:rPr>
          <w:spacing w:val="-5"/>
          <w:sz w:val="22"/>
          <w:szCs w:val="22"/>
        </w:rPr>
        <w:t xml:space="preserve"> </w:t>
      </w:r>
      <w:r w:rsidRPr="00E15D7E">
        <w:rPr>
          <w:sz w:val="22"/>
          <w:szCs w:val="22"/>
        </w:rPr>
        <w:t>of your tenancy agreement, we will convert your tenancy to an assured (lifetime) tenancy.</w:t>
      </w:r>
    </w:p>
    <w:p w14:paraId="739CC125" w14:textId="77777777" w:rsidR="00EC747E" w:rsidRPr="00E15D7E" w:rsidRDefault="00EC747E" w:rsidP="00E15D7E">
      <w:pPr>
        <w:pStyle w:val="BodyText"/>
        <w:ind w:left="113" w:right="227"/>
        <w:jc w:val="both"/>
        <w:rPr>
          <w:sz w:val="22"/>
          <w:szCs w:val="22"/>
        </w:rPr>
      </w:pPr>
      <w:r w:rsidRPr="00E15D7E">
        <w:rPr>
          <w:sz w:val="22"/>
          <w:szCs w:val="22"/>
        </w:rPr>
        <w:t>This</w:t>
      </w:r>
      <w:r w:rsidRPr="00E15D7E">
        <w:rPr>
          <w:spacing w:val="-2"/>
          <w:sz w:val="22"/>
          <w:szCs w:val="22"/>
        </w:rPr>
        <w:t xml:space="preserve"> </w:t>
      </w:r>
      <w:r w:rsidRPr="00E15D7E">
        <w:rPr>
          <w:sz w:val="22"/>
          <w:szCs w:val="22"/>
        </w:rPr>
        <w:t>may</w:t>
      </w:r>
      <w:r w:rsidRPr="00E15D7E">
        <w:rPr>
          <w:spacing w:val="-5"/>
          <w:sz w:val="22"/>
          <w:szCs w:val="22"/>
        </w:rPr>
        <w:t xml:space="preserve"> </w:t>
      </w:r>
      <w:r w:rsidRPr="00E15D7E">
        <w:rPr>
          <w:sz w:val="22"/>
          <w:szCs w:val="22"/>
        </w:rPr>
        <w:t>take</w:t>
      </w:r>
      <w:r w:rsidRPr="00E15D7E">
        <w:rPr>
          <w:spacing w:val="-2"/>
          <w:sz w:val="22"/>
          <w:szCs w:val="22"/>
        </w:rPr>
        <w:t xml:space="preserve"> </w:t>
      </w:r>
      <w:r w:rsidRPr="00E15D7E">
        <w:rPr>
          <w:sz w:val="22"/>
          <w:szCs w:val="22"/>
        </w:rPr>
        <w:t>place</w:t>
      </w:r>
      <w:r w:rsidRPr="00E15D7E">
        <w:rPr>
          <w:spacing w:val="-2"/>
          <w:sz w:val="22"/>
          <w:szCs w:val="22"/>
        </w:rPr>
        <w:t xml:space="preserve"> </w:t>
      </w:r>
      <w:r w:rsidRPr="00E15D7E">
        <w:rPr>
          <w:sz w:val="22"/>
          <w:szCs w:val="22"/>
        </w:rPr>
        <w:t>during</w:t>
      </w:r>
      <w:r w:rsidRPr="00E15D7E">
        <w:rPr>
          <w:spacing w:val="-2"/>
          <w:sz w:val="22"/>
          <w:szCs w:val="22"/>
        </w:rPr>
        <w:t xml:space="preserve"> </w:t>
      </w:r>
      <w:r w:rsidRPr="00E15D7E">
        <w:rPr>
          <w:sz w:val="22"/>
          <w:szCs w:val="22"/>
        </w:rPr>
        <w:t>the</w:t>
      </w:r>
      <w:r w:rsidRPr="00E15D7E">
        <w:rPr>
          <w:spacing w:val="-2"/>
          <w:sz w:val="22"/>
          <w:szCs w:val="22"/>
        </w:rPr>
        <w:t xml:space="preserve"> </w:t>
      </w:r>
      <w:r w:rsidRPr="00E15D7E">
        <w:rPr>
          <w:sz w:val="22"/>
          <w:szCs w:val="22"/>
        </w:rPr>
        <w:t>assessment</w:t>
      </w:r>
      <w:r w:rsidRPr="00E15D7E">
        <w:rPr>
          <w:spacing w:val="-6"/>
          <w:sz w:val="22"/>
          <w:szCs w:val="22"/>
        </w:rPr>
        <w:t xml:space="preserve"> </w:t>
      </w:r>
      <w:r w:rsidRPr="00E15D7E">
        <w:rPr>
          <w:sz w:val="22"/>
          <w:szCs w:val="22"/>
        </w:rPr>
        <w:t>period</w:t>
      </w:r>
      <w:r w:rsidRPr="00E15D7E">
        <w:rPr>
          <w:spacing w:val="-2"/>
          <w:sz w:val="22"/>
          <w:szCs w:val="22"/>
        </w:rPr>
        <w:t xml:space="preserve"> </w:t>
      </w:r>
      <w:r w:rsidRPr="00E15D7E">
        <w:rPr>
          <w:sz w:val="22"/>
          <w:szCs w:val="22"/>
        </w:rPr>
        <w:t>towards</w:t>
      </w:r>
      <w:r w:rsidRPr="00E15D7E">
        <w:rPr>
          <w:spacing w:val="-2"/>
          <w:sz w:val="22"/>
          <w:szCs w:val="22"/>
        </w:rPr>
        <w:t xml:space="preserve"> </w:t>
      </w:r>
      <w:r w:rsidRPr="00E15D7E">
        <w:rPr>
          <w:sz w:val="22"/>
          <w:szCs w:val="22"/>
        </w:rPr>
        <w:t>the</w:t>
      </w:r>
      <w:r w:rsidRPr="00E15D7E">
        <w:rPr>
          <w:spacing w:val="-4"/>
          <w:sz w:val="22"/>
          <w:szCs w:val="22"/>
        </w:rPr>
        <w:t xml:space="preserve"> </w:t>
      </w:r>
      <w:r w:rsidRPr="00E15D7E">
        <w:rPr>
          <w:sz w:val="22"/>
          <w:szCs w:val="22"/>
        </w:rPr>
        <w:t>end</w:t>
      </w:r>
      <w:r w:rsidRPr="00E15D7E">
        <w:rPr>
          <w:spacing w:val="-4"/>
          <w:sz w:val="22"/>
          <w:szCs w:val="22"/>
        </w:rPr>
        <w:t xml:space="preserve"> </w:t>
      </w:r>
      <w:r w:rsidRPr="00E15D7E">
        <w:rPr>
          <w:sz w:val="22"/>
          <w:szCs w:val="22"/>
        </w:rPr>
        <w:t>of</w:t>
      </w:r>
      <w:r w:rsidRPr="00E15D7E">
        <w:rPr>
          <w:spacing w:val="-2"/>
          <w:sz w:val="22"/>
          <w:szCs w:val="22"/>
        </w:rPr>
        <w:t xml:space="preserve"> </w:t>
      </w:r>
      <w:r w:rsidRPr="00E15D7E">
        <w:rPr>
          <w:sz w:val="22"/>
          <w:szCs w:val="22"/>
        </w:rPr>
        <w:t>the</w:t>
      </w:r>
      <w:r w:rsidRPr="00E15D7E">
        <w:rPr>
          <w:spacing w:val="-2"/>
          <w:sz w:val="22"/>
          <w:szCs w:val="22"/>
        </w:rPr>
        <w:t xml:space="preserve"> </w:t>
      </w:r>
      <w:r w:rsidRPr="00E15D7E">
        <w:rPr>
          <w:sz w:val="22"/>
          <w:szCs w:val="22"/>
        </w:rPr>
        <w:t>fixed</w:t>
      </w:r>
      <w:r w:rsidRPr="00E15D7E">
        <w:rPr>
          <w:spacing w:val="-2"/>
          <w:sz w:val="22"/>
          <w:szCs w:val="22"/>
        </w:rPr>
        <w:t xml:space="preserve"> </w:t>
      </w:r>
      <w:r w:rsidRPr="00E15D7E">
        <w:rPr>
          <w:sz w:val="22"/>
          <w:szCs w:val="22"/>
        </w:rPr>
        <w:t>term tenancy or while you are still within the fixed term of your tenancy.</w:t>
      </w:r>
    </w:p>
    <w:p w14:paraId="5FAA928A" w14:textId="59128072" w:rsidR="00EC747E" w:rsidRPr="00E15D7E" w:rsidRDefault="00EC747E" w:rsidP="00E15D7E">
      <w:pPr>
        <w:pStyle w:val="BodyText"/>
        <w:spacing w:before="202"/>
        <w:ind w:left="113"/>
        <w:jc w:val="both"/>
        <w:rPr>
          <w:sz w:val="22"/>
          <w:szCs w:val="22"/>
        </w:rPr>
      </w:pPr>
      <w:r w:rsidRPr="00E15D7E">
        <w:rPr>
          <w:sz w:val="22"/>
          <w:szCs w:val="22"/>
        </w:rPr>
        <w:t>We</w:t>
      </w:r>
      <w:r w:rsidRPr="00E15D7E">
        <w:rPr>
          <w:spacing w:val="-4"/>
          <w:sz w:val="22"/>
          <w:szCs w:val="22"/>
        </w:rPr>
        <w:t xml:space="preserve"> </w:t>
      </w:r>
      <w:r w:rsidRPr="00E15D7E">
        <w:rPr>
          <w:sz w:val="22"/>
          <w:szCs w:val="22"/>
        </w:rPr>
        <w:t>may</w:t>
      </w:r>
      <w:r w:rsidRPr="00E15D7E">
        <w:rPr>
          <w:spacing w:val="-4"/>
          <w:sz w:val="22"/>
          <w:szCs w:val="22"/>
        </w:rPr>
        <w:t xml:space="preserve"> </w:t>
      </w:r>
      <w:r w:rsidRPr="00E15D7E">
        <w:rPr>
          <w:sz w:val="22"/>
          <w:szCs w:val="22"/>
        </w:rPr>
        <w:t>offer</w:t>
      </w:r>
      <w:r w:rsidRPr="00E15D7E">
        <w:rPr>
          <w:spacing w:val="-2"/>
          <w:sz w:val="22"/>
          <w:szCs w:val="22"/>
        </w:rPr>
        <w:t xml:space="preserve"> </w:t>
      </w:r>
      <w:r w:rsidRPr="00E15D7E">
        <w:rPr>
          <w:sz w:val="22"/>
          <w:szCs w:val="22"/>
        </w:rPr>
        <w:t>you</w:t>
      </w:r>
      <w:r w:rsidRPr="00E15D7E">
        <w:rPr>
          <w:spacing w:val="-4"/>
          <w:sz w:val="22"/>
          <w:szCs w:val="22"/>
        </w:rPr>
        <w:t xml:space="preserve"> </w:t>
      </w:r>
      <w:r w:rsidRPr="00E15D7E">
        <w:rPr>
          <w:sz w:val="22"/>
          <w:szCs w:val="22"/>
        </w:rPr>
        <w:t>a</w:t>
      </w:r>
      <w:r w:rsidRPr="00E15D7E">
        <w:rPr>
          <w:spacing w:val="-3"/>
          <w:sz w:val="22"/>
          <w:szCs w:val="22"/>
        </w:rPr>
        <w:t xml:space="preserve"> </w:t>
      </w:r>
      <w:r w:rsidRPr="00E15D7E">
        <w:rPr>
          <w:sz w:val="22"/>
          <w:szCs w:val="22"/>
        </w:rPr>
        <w:t>new</w:t>
      </w:r>
      <w:r w:rsidRPr="00E15D7E">
        <w:rPr>
          <w:spacing w:val="-2"/>
          <w:sz w:val="22"/>
          <w:szCs w:val="22"/>
        </w:rPr>
        <w:t xml:space="preserve"> </w:t>
      </w:r>
      <w:r w:rsidRPr="00E15D7E">
        <w:rPr>
          <w:sz w:val="22"/>
          <w:szCs w:val="22"/>
        </w:rPr>
        <w:t>tenancy</w:t>
      </w:r>
      <w:r w:rsidRPr="00E15D7E">
        <w:rPr>
          <w:spacing w:val="-2"/>
          <w:sz w:val="22"/>
          <w:szCs w:val="22"/>
        </w:rPr>
        <w:t xml:space="preserve"> </w:t>
      </w:r>
      <w:proofErr w:type="gramStart"/>
      <w:r w:rsidRPr="00E15D7E">
        <w:rPr>
          <w:sz w:val="22"/>
          <w:szCs w:val="22"/>
        </w:rPr>
        <w:t>of</w:t>
      </w:r>
      <w:proofErr w:type="gramEnd"/>
      <w:r w:rsidRPr="00E15D7E">
        <w:rPr>
          <w:spacing w:val="-2"/>
          <w:sz w:val="22"/>
          <w:szCs w:val="22"/>
        </w:rPr>
        <w:t xml:space="preserve"> </w:t>
      </w:r>
      <w:r w:rsidRPr="00E15D7E">
        <w:rPr>
          <w:sz w:val="22"/>
          <w:szCs w:val="22"/>
        </w:rPr>
        <w:t>a</w:t>
      </w:r>
      <w:r w:rsidRPr="00E15D7E">
        <w:rPr>
          <w:spacing w:val="-4"/>
          <w:sz w:val="22"/>
          <w:szCs w:val="22"/>
        </w:rPr>
        <w:t xml:space="preserve"> </w:t>
      </w:r>
      <w:r w:rsidRPr="00E15D7E">
        <w:rPr>
          <w:sz w:val="22"/>
          <w:szCs w:val="22"/>
        </w:rPr>
        <w:t>different</w:t>
      </w:r>
      <w:r w:rsidRPr="00E15D7E">
        <w:rPr>
          <w:spacing w:val="-2"/>
          <w:sz w:val="22"/>
          <w:szCs w:val="22"/>
        </w:rPr>
        <w:t xml:space="preserve"> </w:t>
      </w:r>
      <w:r w:rsidR="00585C9E" w:rsidRPr="00E15D7E">
        <w:rPr>
          <w:spacing w:val="-2"/>
          <w:sz w:val="22"/>
          <w:szCs w:val="22"/>
        </w:rPr>
        <w:t>home</w:t>
      </w:r>
      <w:r w:rsidRPr="00E15D7E">
        <w:rPr>
          <w:spacing w:val="-2"/>
          <w:sz w:val="22"/>
          <w:szCs w:val="22"/>
        </w:rPr>
        <w:t xml:space="preserve"> </w:t>
      </w:r>
      <w:r w:rsidRPr="00E15D7E">
        <w:rPr>
          <w:sz w:val="22"/>
          <w:szCs w:val="22"/>
        </w:rPr>
        <w:t>if</w:t>
      </w:r>
      <w:r w:rsidRPr="00E15D7E">
        <w:rPr>
          <w:spacing w:val="-2"/>
          <w:sz w:val="22"/>
          <w:szCs w:val="22"/>
        </w:rPr>
        <w:t xml:space="preserve"> </w:t>
      </w:r>
      <w:r w:rsidRPr="00E15D7E">
        <w:rPr>
          <w:sz w:val="22"/>
          <w:szCs w:val="22"/>
        </w:rPr>
        <w:t>the</w:t>
      </w:r>
      <w:r w:rsidRPr="00E15D7E">
        <w:rPr>
          <w:spacing w:val="-4"/>
          <w:sz w:val="22"/>
          <w:szCs w:val="22"/>
        </w:rPr>
        <w:t xml:space="preserve"> </w:t>
      </w:r>
      <w:r w:rsidRPr="00E15D7E">
        <w:rPr>
          <w:sz w:val="22"/>
          <w:szCs w:val="22"/>
        </w:rPr>
        <w:t>home</w:t>
      </w:r>
      <w:r w:rsidRPr="00E15D7E">
        <w:rPr>
          <w:spacing w:val="-2"/>
          <w:sz w:val="22"/>
          <w:szCs w:val="22"/>
        </w:rPr>
        <w:t xml:space="preserve"> </w:t>
      </w:r>
      <w:r w:rsidRPr="00E15D7E">
        <w:rPr>
          <w:sz w:val="22"/>
          <w:szCs w:val="22"/>
        </w:rPr>
        <w:t>you</w:t>
      </w:r>
      <w:r w:rsidRPr="00E15D7E">
        <w:rPr>
          <w:spacing w:val="-2"/>
          <w:sz w:val="22"/>
          <w:szCs w:val="22"/>
        </w:rPr>
        <w:t xml:space="preserve"> </w:t>
      </w:r>
      <w:r w:rsidRPr="00E15D7E">
        <w:rPr>
          <w:sz w:val="22"/>
          <w:szCs w:val="22"/>
        </w:rPr>
        <w:t>are</w:t>
      </w:r>
      <w:r w:rsidRPr="00E15D7E">
        <w:rPr>
          <w:spacing w:val="-5"/>
          <w:sz w:val="22"/>
          <w:szCs w:val="22"/>
        </w:rPr>
        <w:t xml:space="preserve"> </w:t>
      </w:r>
      <w:r w:rsidRPr="00E15D7E">
        <w:rPr>
          <w:sz w:val="22"/>
          <w:szCs w:val="22"/>
        </w:rPr>
        <w:t>in</w:t>
      </w:r>
      <w:r w:rsidRPr="00E15D7E">
        <w:rPr>
          <w:spacing w:val="-2"/>
          <w:sz w:val="22"/>
          <w:szCs w:val="22"/>
        </w:rPr>
        <w:t xml:space="preserve"> </w:t>
      </w:r>
      <w:r w:rsidRPr="00E15D7E">
        <w:rPr>
          <w:sz w:val="22"/>
          <w:szCs w:val="22"/>
        </w:rPr>
        <w:t>is</w:t>
      </w:r>
      <w:r w:rsidRPr="00E15D7E">
        <w:rPr>
          <w:spacing w:val="-2"/>
          <w:sz w:val="22"/>
          <w:szCs w:val="22"/>
        </w:rPr>
        <w:t xml:space="preserve"> </w:t>
      </w:r>
      <w:r w:rsidRPr="00E15D7E">
        <w:rPr>
          <w:sz w:val="22"/>
          <w:szCs w:val="22"/>
        </w:rPr>
        <w:t>no</w:t>
      </w:r>
      <w:r w:rsidRPr="00E15D7E">
        <w:rPr>
          <w:spacing w:val="-2"/>
          <w:sz w:val="22"/>
          <w:szCs w:val="22"/>
        </w:rPr>
        <w:t xml:space="preserve"> </w:t>
      </w:r>
      <w:r w:rsidRPr="00E15D7E">
        <w:rPr>
          <w:sz w:val="22"/>
          <w:szCs w:val="22"/>
        </w:rPr>
        <w:t>longer appropriate for you.</w:t>
      </w:r>
    </w:p>
    <w:p w14:paraId="2DC499C4" w14:textId="77777777" w:rsidR="00EC747E" w:rsidRPr="00E15D7E" w:rsidRDefault="00EC747E" w:rsidP="00E15D7E">
      <w:pPr>
        <w:pStyle w:val="BodyText"/>
        <w:spacing w:before="200"/>
        <w:ind w:left="113" w:right="227"/>
        <w:jc w:val="both"/>
        <w:rPr>
          <w:sz w:val="22"/>
          <w:szCs w:val="22"/>
        </w:rPr>
      </w:pPr>
      <w:r w:rsidRPr="00E15D7E">
        <w:rPr>
          <w:sz w:val="22"/>
          <w:szCs w:val="22"/>
        </w:rPr>
        <w:t>In</w:t>
      </w:r>
      <w:r w:rsidRPr="00E15D7E">
        <w:rPr>
          <w:spacing w:val="-2"/>
          <w:sz w:val="22"/>
          <w:szCs w:val="22"/>
        </w:rPr>
        <w:t xml:space="preserve"> </w:t>
      </w:r>
      <w:r w:rsidRPr="00E15D7E">
        <w:rPr>
          <w:sz w:val="22"/>
          <w:szCs w:val="22"/>
        </w:rPr>
        <w:t>the</w:t>
      </w:r>
      <w:r w:rsidRPr="00E15D7E">
        <w:rPr>
          <w:spacing w:val="-3"/>
          <w:sz w:val="22"/>
          <w:szCs w:val="22"/>
        </w:rPr>
        <w:t xml:space="preserve"> </w:t>
      </w:r>
      <w:r w:rsidRPr="00E15D7E">
        <w:rPr>
          <w:sz w:val="22"/>
          <w:szCs w:val="22"/>
        </w:rPr>
        <w:t>following</w:t>
      </w:r>
      <w:r w:rsidRPr="00E15D7E">
        <w:rPr>
          <w:spacing w:val="-3"/>
          <w:sz w:val="22"/>
          <w:szCs w:val="22"/>
        </w:rPr>
        <w:t xml:space="preserve"> </w:t>
      </w:r>
      <w:r w:rsidRPr="00E15D7E">
        <w:rPr>
          <w:sz w:val="22"/>
          <w:szCs w:val="22"/>
        </w:rPr>
        <w:t>circumstances</w:t>
      </w:r>
      <w:r w:rsidRPr="00E15D7E">
        <w:rPr>
          <w:spacing w:val="-5"/>
          <w:sz w:val="22"/>
          <w:szCs w:val="22"/>
        </w:rPr>
        <w:t xml:space="preserve"> </w:t>
      </w:r>
      <w:r w:rsidRPr="00E15D7E">
        <w:rPr>
          <w:sz w:val="22"/>
          <w:szCs w:val="22"/>
        </w:rPr>
        <w:t>we</w:t>
      </w:r>
      <w:r w:rsidRPr="00E15D7E">
        <w:rPr>
          <w:spacing w:val="-3"/>
          <w:sz w:val="22"/>
          <w:szCs w:val="22"/>
        </w:rPr>
        <w:t xml:space="preserve"> </w:t>
      </w:r>
      <w:r w:rsidRPr="00E15D7E">
        <w:rPr>
          <w:sz w:val="22"/>
          <w:szCs w:val="22"/>
        </w:rPr>
        <w:t>will</w:t>
      </w:r>
      <w:r w:rsidRPr="00E15D7E">
        <w:rPr>
          <w:spacing w:val="-3"/>
          <w:sz w:val="22"/>
          <w:szCs w:val="22"/>
        </w:rPr>
        <w:t xml:space="preserve"> </w:t>
      </w:r>
      <w:r w:rsidRPr="00E15D7E">
        <w:rPr>
          <w:sz w:val="22"/>
          <w:szCs w:val="22"/>
        </w:rPr>
        <w:t>not</w:t>
      </w:r>
      <w:r w:rsidRPr="00E15D7E">
        <w:rPr>
          <w:spacing w:val="-3"/>
          <w:sz w:val="22"/>
          <w:szCs w:val="22"/>
        </w:rPr>
        <w:t xml:space="preserve"> </w:t>
      </w:r>
      <w:proofErr w:type="gramStart"/>
      <w:r w:rsidRPr="00E15D7E">
        <w:rPr>
          <w:sz w:val="22"/>
          <w:szCs w:val="22"/>
        </w:rPr>
        <w:t>convert</w:t>
      </w:r>
      <w:proofErr w:type="gramEnd"/>
      <w:r w:rsidRPr="00E15D7E">
        <w:rPr>
          <w:spacing w:val="-3"/>
          <w:sz w:val="22"/>
          <w:szCs w:val="22"/>
        </w:rPr>
        <w:t xml:space="preserve"> </w:t>
      </w:r>
      <w:r w:rsidRPr="00E15D7E">
        <w:rPr>
          <w:sz w:val="22"/>
          <w:szCs w:val="22"/>
        </w:rPr>
        <w:t>your</w:t>
      </w:r>
      <w:r w:rsidRPr="00E15D7E">
        <w:rPr>
          <w:spacing w:val="-5"/>
          <w:sz w:val="22"/>
          <w:szCs w:val="22"/>
        </w:rPr>
        <w:t xml:space="preserve"> </w:t>
      </w:r>
      <w:r w:rsidRPr="00E15D7E">
        <w:rPr>
          <w:sz w:val="22"/>
          <w:szCs w:val="22"/>
        </w:rPr>
        <w:t>existing</w:t>
      </w:r>
      <w:r w:rsidRPr="00E15D7E">
        <w:rPr>
          <w:spacing w:val="-4"/>
          <w:sz w:val="22"/>
          <w:szCs w:val="22"/>
        </w:rPr>
        <w:t xml:space="preserve"> </w:t>
      </w:r>
      <w:r w:rsidRPr="00E15D7E">
        <w:rPr>
          <w:sz w:val="22"/>
          <w:szCs w:val="22"/>
        </w:rPr>
        <w:t>tenancy</w:t>
      </w:r>
      <w:r w:rsidRPr="00E15D7E">
        <w:rPr>
          <w:spacing w:val="-3"/>
          <w:sz w:val="22"/>
          <w:szCs w:val="22"/>
        </w:rPr>
        <w:t xml:space="preserve"> </w:t>
      </w:r>
      <w:r w:rsidRPr="00E15D7E">
        <w:rPr>
          <w:sz w:val="22"/>
          <w:szCs w:val="22"/>
        </w:rPr>
        <w:t>or</w:t>
      </w:r>
      <w:r w:rsidRPr="00E15D7E">
        <w:rPr>
          <w:spacing w:val="-3"/>
          <w:sz w:val="22"/>
          <w:szCs w:val="22"/>
        </w:rPr>
        <w:t xml:space="preserve"> </w:t>
      </w:r>
      <w:r w:rsidRPr="00E15D7E">
        <w:rPr>
          <w:sz w:val="22"/>
          <w:szCs w:val="22"/>
        </w:rPr>
        <w:t>offer</w:t>
      </w:r>
      <w:r w:rsidRPr="00E15D7E">
        <w:rPr>
          <w:spacing w:val="-3"/>
          <w:sz w:val="22"/>
          <w:szCs w:val="22"/>
        </w:rPr>
        <w:t xml:space="preserve"> </w:t>
      </w:r>
      <w:r w:rsidRPr="00E15D7E">
        <w:rPr>
          <w:sz w:val="22"/>
          <w:szCs w:val="22"/>
        </w:rPr>
        <w:t>you another tenancy:</w:t>
      </w:r>
    </w:p>
    <w:p w14:paraId="6A4BC1AD" w14:textId="77777777" w:rsidR="00EC747E" w:rsidRPr="00E15D7E" w:rsidRDefault="00EC747E" w:rsidP="00E15D7E">
      <w:pPr>
        <w:pStyle w:val="ListParagraph"/>
        <w:widowControl w:val="0"/>
        <w:numPr>
          <w:ilvl w:val="0"/>
          <w:numId w:val="37"/>
        </w:numPr>
        <w:tabs>
          <w:tab w:val="left" w:pos="473"/>
        </w:tabs>
        <w:autoSpaceDE w:val="0"/>
        <w:autoSpaceDN w:val="0"/>
        <w:spacing w:before="199" w:line="293" w:lineRule="exact"/>
        <w:rPr>
          <w:sz w:val="22"/>
        </w:rPr>
      </w:pPr>
      <w:r w:rsidRPr="00E15D7E">
        <w:rPr>
          <w:sz w:val="22"/>
        </w:rPr>
        <w:t>There</w:t>
      </w:r>
      <w:r w:rsidRPr="00E15D7E">
        <w:rPr>
          <w:spacing w:val="-5"/>
          <w:sz w:val="22"/>
        </w:rPr>
        <w:t xml:space="preserve"> </w:t>
      </w:r>
      <w:r w:rsidRPr="00E15D7E">
        <w:rPr>
          <w:sz w:val="22"/>
        </w:rPr>
        <w:t>has</w:t>
      </w:r>
      <w:r w:rsidRPr="00E15D7E">
        <w:rPr>
          <w:spacing w:val="-2"/>
          <w:sz w:val="22"/>
        </w:rPr>
        <w:t xml:space="preserve"> </w:t>
      </w:r>
      <w:r w:rsidRPr="00E15D7E">
        <w:rPr>
          <w:sz w:val="22"/>
        </w:rPr>
        <w:t>been</w:t>
      </w:r>
      <w:r w:rsidRPr="00E15D7E">
        <w:rPr>
          <w:spacing w:val="-4"/>
          <w:sz w:val="22"/>
        </w:rPr>
        <w:t xml:space="preserve"> </w:t>
      </w:r>
      <w:r w:rsidRPr="00E15D7E">
        <w:rPr>
          <w:sz w:val="22"/>
        </w:rPr>
        <w:t>a</w:t>
      </w:r>
      <w:r w:rsidRPr="00E15D7E">
        <w:rPr>
          <w:spacing w:val="-3"/>
          <w:sz w:val="22"/>
        </w:rPr>
        <w:t xml:space="preserve"> </w:t>
      </w:r>
      <w:r w:rsidRPr="00E15D7E">
        <w:rPr>
          <w:sz w:val="22"/>
        </w:rPr>
        <w:t>persistent</w:t>
      </w:r>
      <w:r w:rsidRPr="00E15D7E">
        <w:rPr>
          <w:spacing w:val="-4"/>
          <w:sz w:val="22"/>
        </w:rPr>
        <w:t xml:space="preserve"> </w:t>
      </w:r>
      <w:r w:rsidRPr="00E15D7E">
        <w:rPr>
          <w:sz w:val="22"/>
        </w:rPr>
        <w:t>or</w:t>
      </w:r>
      <w:r w:rsidRPr="00E15D7E">
        <w:rPr>
          <w:spacing w:val="-2"/>
          <w:sz w:val="22"/>
        </w:rPr>
        <w:t xml:space="preserve"> </w:t>
      </w:r>
      <w:r w:rsidRPr="00E15D7E">
        <w:rPr>
          <w:sz w:val="22"/>
        </w:rPr>
        <w:t>serious</w:t>
      </w:r>
      <w:r w:rsidRPr="00E15D7E">
        <w:rPr>
          <w:spacing w:val="-4"/>
          <w:sz w:val="22"/>
        </w:rPr>
        <w:t xml:space="preserve"> </w:t>
      </w:r>
      <w:r w:rsidRPr="00E15D7E">
        <w:rPr>
          <w:sz w:val="22"/>
        </w:rPr>
        <w:t>breach</w:t>
      </w:r>
      <w:r w:rsidRPr="00E15D7E">
        <w:rPr>
          <w:spacing w:val="-2"/>
          <w:sz w:val="22"/>
        </w:rPr>
        <w:t xml:space="preserve"> </w:t>
      </w:r>
      <w:r w:rsidRPr="00E15D7E">
        <w:rPr>
          <w:sz w:val="22"/>
        </w:rPr>
        <w:t>of</w:t>
      </w:r>
      <w:r w:rsidRPr="00E15D7E">
        <w:rPr>
          <w:spacing w:val="-4"/>
          <w:sz w:val="22"/>
        </w:rPr>
        <w:t xml:space="preserve"> </w:t>
      </w:r>
      <w:r w:rsidRPr="00E15D7E">
        <w:rPr>
          <w:spacing w:val="-2"/>
          <w:sz w:val="22"/>
        </w:rPr>
        <w:t>tenancy</w:t>
      </w:r>
    </w:p>
    <w:p w14:paraId="77520301" w14:textId="77777777" w:rsidR="00EC747E" w:rsidRPr="00E15D7E" w:rsidRDefault="00EC747E" w:rsidP="00E15D7E">
      <w:pPr>
        <w:pStyle w:val="ListParagraph"/>
        <w:widowControl w:val="0"/>
        <w:numPr>
          <w:ilvl w:val="0"/>
          <w:numId w:val="37"/>
        </w:numPr>
        <w:tabs>
          <w:tab w:val="left" w:pos="473"/>
        </w:tabs>
        <w:autoSpaceDE w:val="0"/>
        <w:autoSpaceDN w:val="0"/>
        <w:spacing w:line="293" w:lineRule="exact"/>
        <w:rPr>
          <w:sz w:val="22"/>
        </w:rPr>
      </w:pPr>
      <w:r w:rsidRPr="00E15D7E">
        <w:rPr>
          <w:sz w:val="22"/>
        </w:rPr>
        <w:t>There</w:t>
      </w:r>
      <w:r w:rsidRPr="00E15D7E">
        <w:rPr>
          <w:spacing w:val="-2"/>
          <w:sz w:val="22"/>
        </w:rPr>
        <w:t xml:space="preserve"> </w:t>
      </w:r>
      <w:r w:rsidRPr="00E15D7E">
        <w:rPr>
          <w:sz w:val="22"/>
        </w:rPr>
        <w:t>are</w:t>
      </w:r>
      <w:r w:rsidRPr="00E15D7E">
        <w:rPr>
          <w:spacing w:val="-4"/>
          <w:sz w:val="22"/>
        </w:rPr>
        <w:t xml:space="preserve"> </w:t>
      </w:r>
      <w:r w:rsidRPr="00E15D7E">
        <w:rPr>
          <w:sz w:val="22"/>
        </w:rPr>
        <w:t>arrears</w:t>
      </w:r>
      <w:r w:rsidRPr="00E15D7E">
        <w:rPr>
          <w:spacing w:val="-1"/>
          <w:sz w:val="22"/>
        </w:rPr>
        <w:t xml:space="preserve"> </w:t>
      </w:r>
      <w:r w:rsidRPr="00E15D7E">
        <w:rPr>
          <w:sz w:val="22"/>
        </w:rPr>
        <w:t>of</w:t>
      </w:r>
      <w:r w:rsidRPr="00E15D7E">
        <w:rPr>
          <w:spacing w:val="-3"/>
          <w:sz w:val="22"/>
        </w:rPr>
        <w:t xml:space="preserve"> </w:t>
      </w:r>
      <w:r w:rsidRPr="00E15D7E">
        <w:rPr>
          <w:sz w:val="22"/>
        </w:rPr>
        <w:t>more</w:t>
      </w:r>
      <w:r w:rsidRPr="00E15D7E">
        <w:rPr>
          <w:spacing w:val="-2"/>
          <w:sz w:val="22"/>
        </w:rPr>
        <w:t xml:space="preserve"> </w:t>
      </w:r>
      <w:r w:rsidRPr="00E15D7E">
        <w:rPr>
          <w:sz w:val="22"/>
        </w:rPr>
        <w:t>than eight</w:t>
      </w:r>
      <w:r w:rsidRPr="00E15D7E">
        <w:rPr>
          <w:spacing w:val="-2"/>
          <w:sz w:val="22"/>
        </w:rPr>
        <w:t xml:space="preserve"> </w:t>
      </w:r>
      <w:r w:rsidRPr="00E15D7E">
        <w:rPr>
          <w:sz w:val="22"/>
        </w:rPr>
        <w:t>weeks</w:t>
      </w:r>
      <w:r w:rsidRPr="00E15D7E">
        <w:rPr>
          <w:spacing w:val="-1"/>
          <w:sz w:val="22"/>
        </w:rPr>
        <w:t xml:space="preserve"> </w:t>
      </w:r>
      <w:r w:rsidRPr="00E15D7E">
        <w:rPr>
          <w:spacing w:val="-4"/>
          <w:sz w:val="22"/>
        </w:rPr>
        <w:t>rent</w:t>
      </w:r>
    </w:p>
    <w:p w14:paraId="204A328E" w14:textId="77777777" w:rsidR="00EC747E" w:rsidRPr="00E15D7E" w:rsidRDefault="00EC747E" w:rsidP="00E15D7E">
      <w:pPr>
        <w:pStyle w:val="ListParagraph"/>
        <w:widowControl w:val="0"/>
        <w:numPr>
          <w:ilvl w:val="0"/>
          <w:numId w:val="37"/>
        </w:numPr>
        <w:tabs>
          <w:tab w:val="left" w:pos="473"/>
        </w:tabs>
        <w:autoSpaceDE w:val="0"/>
        <w:autoSpaceDN w:val="0"/>
        <w:spacing w:line="293" w:lineRule="exact"/>
        <w:rPr>
          <w:sz w:val="22"/>
        </w:rPr>
      </w:pPr>
      <w:r w:rsidRPr="00E15D7E">
        <w:rPr>
          <w:sz w:val="22"/>
        </w:rPr>
        <w:t>There</w:t>
      </w:r>
      <w:r w:rsidRPr="00E15D7E">
        <w:rPr>
          <w:spacing w:val="-2"/>
          <w:sz w:val="22"/>
        </w:rPr>
        <w:t xml:space="preserve"> </w:t>
      </w:r>
      <w:r w:rsidRPr="00E15D7E">
        <w:rPr>
          <w:sz w:val="22"/>
        </w:rPr>
        <w:t>is</w:t>
      </w:r>
      <w:r w:rsidRPr="00E15D7E">
        <w:rPr>
          <w:spacing w:val="-2"/>
          <w:sz w:val="22"/>
        </w:rPr>
        <w:t xml:space="preserve"> </w:t>
      </w:r>
      <w:r w:rsidRPr="00E15D7E">
        <w:rPr>
          <w:sz w:val="22"/>
        </w:rPr>
        <w:t>evidence</w:t>
      </w:r>
      <w:r w:rsidRPr="00E15D7E">
        <w:rPr>
          <w:spacing w:val="-2"/>
          <w:sz w:val="22"/>
        </w:rPr>
        <w:t xml:space="preserve"> </w:t>
      </w:r>
      <w:r w:rsidRPr="00E15D7E">
        <w:rPr>
          <w:sz w:val="22"/>
        </w:rPr>
        <w:t>of</w:t>
      </w:r>
      <w:r w:rsidRPr="00E15D7E">
        <w:rPr>
          <w:spacing w:val="-4"/>
          <w:sz w:val="22"/>
        </w:rPr>
        <w:t xml:space="preserve"> </w:t>
      </w:r>
      <w:r w:rsidRPr="00E15D7E">
        <w:rPr>
          <w:sz w:val="22"/>
        </w:rPr>
        <w:t>tenancy</w:t>
      </w:r>
      <w:r w:rsidRPr="00E15D7E">
        <w:rPr>
          <w:spacing w:val="-3"/>
          <w:sz w:val="22"/>
        </w:rPr>
        <w:t xml:space="preserve"> </w:t>
      </w:r>
      <w:r w:rsidRPr="00E15D7E">
        <w:rPr>
          <w:sz w:val="22"/>
        </w:rPr>
        <w:t>fraud</w:t>
      </w:r>
      <w:r w:rsidRPr="00E15D7E">
        <w:rPr>
          <w:spacing w:val="-4"/>
          <w:sz w:val="22"/>
        </w:rPr>
        <w:t xml:space="preserve"> </w:t>
      </w:r>
      <w:r w:rsidRPr="00E15D7E">
        <w:rPr>
          <w:sz w:val="22"/>
        </w:rPr>
        <w:t>or</w:t>
      </w:r>
      <w:r w:rsidRPr="00E15D7E">
        <w:rPr>
          <w:spacing w:val="-2"/>
          <w:sz w:val="22"/>
        </w:rPr>
        <w:t xml:space="preserve"> </w:t>
      </w:r>
      <w:r w:rsidRPr="00E15D7E">
        <w:rPr>
          <w:sz w:val="22"/>
        </w:rPr>
        <w:t>illegal</w:t>
      </w:r>
      <w:r w:rsidRPr="00E15D7E">
        <w:rPr>
          <w:spacing w:val="-1"/>
          <w:sz w:val="22"/>
        </w:rPr>
        <w:t xml:space="preserve"> </w:t>
      </w:r>
      <w:r w:rsidRPr="00E15D7E">
        <w:rPr>
          <w:spacing w:val="-2"/>
          <w:sz w:val="22"/>
        </w:rPr>
        <w:t>subletting</w:t>
      </w:r>
    </w:p>
    <w:p w14:paraId="5982285B" w14:textId="77777777" w:rsidR="00EC747E" w:rsidRPr="00E15D7E" w:rsidRDefault="00EC747E" w:rsidP="00E15D7E">
      <w:pPr>
        <w:pStyle w:val="ListParagraph"/>
        <w:widowControl w:val="0"/>
        <w:numPr>
          <w:ilvl w:val="0"/>
          <w:numId w:val="37"/>
        </w:numPr>
        <w:tabs>
          <w:tab w:val="left" w:pos="473"/>
        </w:tabs>
        <w:autoSpaceDE w:val="0"/>
        <w:autoSpaceDN w:val="0"/>
        <w:spacing w:line="293" w:lineRule="exact"/>
        <w:rPr>
          <w:sz w:val="22"/>
        </w:rPr>
      </w:pPr>
      <w:r w:rsidRPr="00E15D7E">
        <w:rPr>
          <w:sz w:val="22"/>
        </w:rPr>
        <w:t>The</w:t>
      </w:r>
      <w:r w:rsidRPr="00E15D7E">
        <w:rPr>
          <w:spacing w:val="-4"/>
          <w:sz w:val="22"/>
        </w:rPr>
        <w:t xml:space="preserve"> </w:t>
      </w:r>
      <w:r w:rsidRPr="00E15D7E">
        <w:rPr>
          <w:sz w:val="22"/>
        </w:rPr>
        <w:t>property</w:t>
      </w:r>
      <w:r w:rsidRPr="00E15D7E">
        <w:rPr>
          <w:spacing w:val="-2"/>
          <w:sz w:val="22"/>
        </w:rPr>
        <w:t xml:space="preserve"> </w:t>
      </w:r>
      <w:r w:rsidRPr="00E15D7E">
        <w:rPr>
          <w:sz w:val="22"/>
        </w:rPr>
        <w:t>is</w:t>
      </w:r>
      <w:r w:rsidRPr="00E15D7E">
        <w:rPr>
          <w:spacing w:val="-5"/>
          <w:sz w:val="22"/>
        </w:rPr>
        <w:t xml:space="preserve"> </w:t>
      </w:r>
      <w:r w:rsidRPr="00E15D7E">
        <w:rPr>
          <w:sz w:val="22"/>
        </w:rPr>
        <w:t>not</w:t>
      </w:r>
      <w:r w:rsidRPr="00E15D7E">
        <w:rPr>
          <w:spacing w:val="-3"/>
          <w:sz w:val="22"/>
        </w:rPr>
        <w:t xml:space="preserve"> </w:t>
      </w:r>
      <w:r w:rsidRPr="00E15D7E">
        <w:rPr>
          <w:sz w:val="22"/>
        </w:rPr>
        <w:t>being</w:t>
      </w:r>
      <w:r w:rsidRPr="00E15D7E">
        <w:rPr>
          <w:spacing w:val="-2"/>
          <w:sz w:val="22"/>
        </w:rPr>
        <w:t xml:space="preserve"> </w:t>
      </w:r>
      <w:r w:rsidRPr="00E15D7E">
        <w:rPr>
          <w:sz w:val="22"/>
        </w:rPr>
        <w:t>occupied</w:t>
      </w:r>
      <w:r w:rsidRPr="00E15D7E">
        <w:rPr>
          <w:spacing w:val="-2"/>
          <w:sz w:val="22"/>
        </w:rPr>
        <w:t xml:space="preserve"> </w:t>
      </w:r>
      <w:r w:rsidRPr="00E15D7E">
        <w:rPr>
          <w:sz w:val="22"/>
        </w:rPr>
        <w:t>as</w:t>
      </w:r>
      <w:r w:rsidRPr="00E15D7E">
        <w:rPr>
          <w:spacing w:val="-3"/>
          <w:sz w:val="22"/>
        </w:rPr>
        <w:t xml:space="preserve"> </w:t>
      </w:r>
      <w:r w:rsidRPr="00E15D7E">
        <w:rPr>
          <w:sz w:val="22"/>
        </w:rPr>
        <w:t>the</w:t>
      </w:r>
      <w:r w:rsidRPr="00E15D7E">
        <w:rPr>
          <w:spacing w:val="-4"/>
          <w:sz w:val="22"/>
        </w:rPr>
        <w:t xml:space="preserve"> </w:t>
      </w:r>
      <w:r w:rsidRPr="00E15D7E">
        <w:rPr>
          <w:sz w:val="22"/>
        </w:rPr>
        <w:t>only</w:t>
      </w:r>
      <w:r w:rsidRPr="00E15D7E">
        <w:rPr>
          <w:spacing w:val="-2"/>
          <w:sz w:val="22"/>
        </w:rPr>
        <w:t xml:space="preserve"> </w:t>
      </w:r>
      <w:r w:rsidRPr="00E15D7E">
        <w:rPr>
          <w:sz w:val="22"/>
        </w:rPr>
        <w:t>principal</w:t>
      </w:r>
      <w:r w:rsidRPr="00E15D7E">
        <w:rPr>
          <w:spacing w:val="-1"/>
          <w:sz w:val="22"/>
        </w:rPr>
        <w:t xml:space="preserve"> </w:t>
      </w:r>
      <w:r w:rsidRPr="00E15D7E">
        <w:rPr>
          <w:spacing w:val="-2"/>
          <w:sz w:val="22"/>
        </w:rPr>
        <w:t>home.</w:t>
      </w:r>
    </w:p>
    <w:p w14:paraId="715322CB" w14:textId="77777777" w:rsidR="00EC747E" w:rsidRPr="00E15D7E" w:rsidRDefault="00EC747E" w:rsidP="00E15D7E">
      <w:pPr>
        <w:pStyle w:val="BodyText"/>
        <w:spacing w:before="157"/>
        <w:ind w:left="113" w:right="227"/>
        <w:jc w:val="both"/>
        <w:rPr>
          <w:sz w:val="22"/>
          <w:szCs w:val="22"/>
        </w:rPr>
      </w:pPr>
      <w:r w:rsidRPr="00E15D7E">
        <w:rPr>
          <w:sz w:val="22"/>
          <w:szCs w:val="22"/>
        </w:rPr>
        <w:t>We’ll</w:t>
      </w:r>
      <w:r w:rsidRPr="00E15D7E">
        <w:rPr>
          <w:spacing w:val="-2"/>
          <w:sz w:val="22"/>
          <w:szCs w:val="22"/>
        </w:rPr>
        <w:t xml:space="preserve"> </w:t>
      </w:r>
      <w:proofErr w:type="gramStart"/>
      <w:r w:rsidRPr="00E15D7E">
        <w:rPr>
          <w:sz w:val="22"/>
          <w:szCs w:val="22"/>
        </w:rPr>
        <w:t>make</w:t>
      </w:r>
      <w:r w:rsidRPr="00E15D7E">
        <w:rPr>
          <w:spacing w:val="-4"/>
          <w:sz w:val="22"/>
          <w:szCs w:val="22"/>
        </w:rPr>
        <w:t xml:space="preserve"> </w:t>
      </w:r>
      <w:r w:rsidRPr="00E15D7E">
        <w:rPr>
          <w:sz w:val="22"/>
          <w:szCs w:val="22"/>
        </w:rPr>
        <w:t>a</w:t>
      </w:r>
      <w:r w:rsidRPr="00E15D7E">
        <w:rPr>
          <w:spacing w:val="-2"/>
          <w:sz w:val="22"/>
          <w:szCs w:val="22"/>
        </w:rPr>
        <w:t xml:space="preserve"> </w:t>
      </w:r>
      <w:r w:rsidRPr="00E15D7E">
        <w:rPr>
          <w:sz w:val="22"/>
          <w:szCs w:val="22"/>
        </w:rPr>
        <w:t>decision</w:t>
      </w:r>
      <w:proofErr w:type="gramEnd"/>
      <w:r w:rsidRPr="00E15D7E">
        <w:rPr>
          <w:spacing w:val="-4"/>
          <w:sz w:val="22"/>
          <w:szCs w:val="22"/>
        </w:rPr>
        <w:t xml:space="preserve"> </w:t>
      </w:r>
      <w:r w:rsidRPr="00E15D7E">
        <w:rPr>
          <w:sz w:val="22"/>
          <w:szCs w:val="22"/>
        </w:rPr>
        <w:t>at</w:t>
      </w:r>
      <w:r w:rsidRPr="00E15D7E">
        <w:rPr>
          <w:spacing w:val="-2"/>
          <w:sz w:val="22"/>
          <w:szCs w:val="22"/>
        </w:rPr>
        <w:t xml:space="preserve"> </w:t>
      </w:r>
      <w:r w:rsidRPr="00E15D7E">
        <w:rPr>
          <w:sz w:val="22"/>
          <w:szCs w:val="22"/>
        </w:rPr>
        <w:t>least</w:t>
      </w:r>
      <w:r w:rsidRPr="00E15D7E">
        <w:rPr>
          <w:spacing w:val="-2"/>
          <w:sz w:val="22"/>
          <w:szCs w:val="22"/>
        </w:rPr>
        <w:t xml:space="preserve"> </w:t>
      </w:r>
      <w:r w:rsidRPr="00E15D7E">
        <w:rPr>
          <w:sz w:val="22"/>
          <w:szCs w:val="22"/>
        </w:rPr>
        <w:t>six</w:t>
      </w:r>
      <w:r w:rsidRPr="00E15D7E">
        <w:rPr>
          <w:spacing w:val="-2"/>
          <w:sz w:val="22"/>
          <w:szCs w:val="22"/>
        </w:rPr>
        <w:t xml:space="preserve"> </w:t>
      </w:r>
      <w:r w:rsidRPr="00E15D7E">
        <w:rPr>
          <w:sz w:val="22"/>
          <w:szCs w:val="22"/>
        </w:rPr>
        <w:t>months</w:t>
      </w:r>
      <w:r w:rsidRPr="00E15D7E">
        <w:rPr>
          <w:spacing w:val="-2"/>
          <w:sz w:val="22"/>
          <w:szCs w:val="22"/>
        </w:rPr>
        <w:t xml:space="preserve"> </w:t>
      </w:r>
      <w:r w:rsidRPr="00E15D7E">
        <w:rPr>
          <w:sz w:val="22"/>
          <w:szCs w:val="22"/>
        </w:rPr>
        <w:t>before</w:t>
      </w:r>
      <w:r w:rsidRPr="00E15D7E">
        <w:rPr>
          <w:spacing w:val="-2"/>
          <w:sz w:val="22"/>
          <w:szCs w:val="22"/>
        </w:rPr>
        <w:t xml:space="preserve"> </w:t>
      </w:r>
      <w:r w:rsidRPr="00E15D7E">
        <w:rPr>
          <w:sz w:val="22"/>
          <w:szCs w:val="22"/>
        </w:rPr>
        <w:t>the</w:t>
      </w:r>
      <w:r w:rsidRPr="00E15D7E">
        <w:rPr>
          <w:spacing w:val="-2"/>
          <w:sz w:val="22"/>
          <w:szCs w:val="22"/>
        </w:rPr>
        <w:t xml:space="preserve"> </w:t>
      </w:r>
      <w:r w:rsidRPr="00E15D7E">
        <w:rPr>
          <w:sz w:val="22"/>
          <w:szCs w:val="22"/>
        </w:rPr>
        <w:t>end</w:t>
      </w:r>
      <w:r w:rsidRPr="00E15D7E">
        <w:rPr>
          <w:spacing w:val="-4"/>
          <w:sz w:val="22"/>
          <w:szCs w:val="22"/>
        </w:rPr>
        <w:t xml:space="preserve"> </w:t>
      </w:r>
      <w:r w:rsidRPr="00E15D7E">
        <w:rPr>
          <w:sz w:val="22"/>
          <w:szCs w:val="22"/>
        </w:rPr>
        <w:t>of</w:t>
      </w:r>
      <w:r w:rsidRPr="00E15D7E">
        <w:rPr>
          <w:spacing w:val="-2"/>
          <w:sz w:val="22"/>
          <w:szCs w:val="22"/>
        </w:rPr>
        <w:t xml:space="preserve"> </w:t>
      </w:r>
      <w:r w:rsidRPr="00E15D7E">
        <w:rPr>
          <w:sz w:val="22"/>
          <w:szCs w:val="22"/>
        </w:rPr>
        <w:t>the</w:t>
      </w:r>
      <w:r w:rsidRPr="00E15D7E">
        <w:rPr>
          <w:spacing w:val="-2"/>
          <w:sz w:val="22"/>
          <w:szCs w:val="22"/>
        </w:rPr>
        <w:t xml:space="preserve"> </w:t>
      </w:r>
      <w:r w:rsidRPr="00E15D7E">
        <w:rPr>
          <w:sz w:val="22"/>
          <w:szCs w:val="22"/>
        </w:rPr>
        <w:t>fixed</w:t>
      </w:r>
      <w:r w:rsidRPr="00E15D7E">
        <w:rPr>
          <w:spacing w:val="-4"/>
          <w:sz w:val="22"/>
          <w:szCs w:val="22"/>
        </w:rPr>
        <w:t xml:space="preserve"> </w:t>
      </w:r>
      <w:r w:rsidRPr="00E15D7E">
        <w:rPr>
          <w:sz w:val="22"/>
          <w:szCs w:val="22"/>
        </w:rPr>
        <w:t>term</w:t>
      </w:r>
      <w:r w:rsidRPr="00E15D7E">
        <w:rPr>
          <w:spacing w:val="-4"/>
          <w:sz w:val="22"/>
          <w:szCs w:val="22"/>
        </w:rPr>
        <w:t xml:space="preserve"> </w:t>
      </w:r>
      <w:r w:rsidRPr="00E15D7E">
        <w:rPr>
          <w:sz w:val="22"/>
          <w:szCs w:val="22"/>
        </w:rPr>
        <w:t>as</w:t>
      </w:r>
      <w:r w:rsidRPr="00E15D7E">
        <w:rPr>
          <w:spacing w:val="-2"/>
          <w:sz w:val="22"/>
          <w:szCs w:val="22"/>
        </w:rPr>
        <w:t xml:space="preserve"> </w:t>
      </w:r>
      <w:r w:rsidRPr="00E15D7E">
        <w:rPr>
          <w:sz w:val="22"/>
          <w:szCs w:val="22"/>
        </w:rPr>
        <w:t>to</w:t>
      </w:r>
      <w:r w:rsidRPr="00E15D7E">
        <w:rPr>
          <w:spacing w:val="-2"/>
          <w:sz w:val="22"/>
          <w:szCs w:val="22"/>
        </w:rPr>
        <w:t xml:space="preserve"> </w:t>
      </w:r>
      <w:r w:rsidRPr="00E15D7E">
        <w:rPr>
          <w:sz w:val="22"/>
          <w:szCs w:val="22"/>
        </w:rPr>
        <w:t xml:space="preserve">whether we’ll renew the tenancy as an assured tenancy or we’ll recover possession, unless </w:t>
      </w:r>
      <w:proofErr w:type="gramStart"/>
      <w:r w:rsidRPr="00E15D7E">
        <w:rPr>
          <w:sz w:val="22"/>
          <w:szCs w:val="22"/>
        </w:rPr>
        <w:t>enforcement</w:t>
      </w:r>
      <w:proofErr w:type="gramEnd"/>
      <w:r w:rsidRPr="00E15D7E">
        <w:rPr>
          <w:sz w:val="22"/>
          <w:szCs w:val="22"/>
        </w:rPr>
        <w:t xml:space="preserve"> action is taken sooner.</w:t>
      </w:r>
    </w:p>
    <w:p w14:paraId="1D6AA9A1" w14:textId="2AECC9D3" w:rsidR="00EC747E" w:rsidRPr="00E15D7E" w:rsidRDefault="00EC747E" w:rsidP="00E15D7E">
      <w:pPr>
        <w:pStyle w:val="BodyText"/>
        <w:spacing w:before="199"/>
        <w:ind w:left="113" w:right="227"/>
        <w:jc w:val="both"/>
        <w:rPr>
          <w:sz w:val="22"/>
          <w:szCs w:val="22"/>
        </w:rPr>
      </w:pPr>
      <w:r w:rsidRPr="00E15D7E">
        <w:rPr>
          <w:sz w:val="22"/>
          <w:szCs w:val="22"/>
        </w:rPr>
        <w:t xml:space="preserve">At least six months before </w:t>
      </w:r>
      <w:proofErr w:type="gramStart"/>
      <w:r w:rsidRPr="00E15D7E">
        <w:rPr>
          <w:sz w:val="22"/>
          <w:szCs w:val="22"/>
        </w:rPr>
        <w:t>a fixed term tenancy</w:t>
      </w:r>
      <w:proofErr w:type="gramEnd"/>
      <w:r w:rsidRPr="00E15D7E">
        <w:rPr>
          <w:sz w:val="22"/>
          <w:szCs w:val="22"/>
        </w:rPr>
        <w:t xml:space="preserve"> ends, we</w:t>
      </w:r>
      <w:r w:rsidR="00AF7936" w:rsidRPr="00E15D7E">
        <w:rPr>
          <w:sz w:val="22"/>
          <w:szCs w:val="22"/>
        </w:rPr>
        <w:t xml:space="preserve"> will advi</w:t>
      </w:r>
      <w:r w:rsidR="00E32E21" w:rsidRPr="00E15D7E">
        <w:rPr>
          <w:sz w:val="22"/>
          <w:szCs w:val="22"/>
        </w:rPr>
        <w:t xml:space="preserve">se you in writing </w:t>
      </w:r>
      <w:r w:rsidR="00493CB1" w:rsidRPr="00E15D7E">
        <w:rPr>
          <w:sz w:val="22"/>
          <w:szCs w:val="22"/>
        </w:rPr>
        <w:t>that we</w:t>
      </w:r>
      <w:r w:rsidR="00E32E21" w:rsidRPr="00E15D7E">
        <w:rPr>
          <w:sz w:val="22"/>
          <w:szCs w:val="22"/>
        </w:rPr>
        <w:t xml:space="preserve"> are </w:t>
      </w:r>
      <w:r w:rsidRPr="00E15D7E">
        <w:rPr>
          <w:sz w:val="22"/>
          <w:szCs w:val="22"/>
        </w:rPr>
        <w:t>either</w:t>
      </w:r>
      <w:r w:rsidRPr="00E15D7E">
        <w:rPr>
          <w:spacing w:val="-3"/>
          <w:sz w:val="22"/>
          <w:szCs w:val="22"/>
        </w:rPr>
        <w:t xml:space="preserve"> </w:t>
      </w:r>
      <w:r w:rsidR="00E32E21" w:rsidRPr="00E15D7E">
        <w:rPr>
          <w:spacing w:val="-3"/>
          <w:sz w:val="22"/>
          <w:szCs w:val="22"/>
        </w:rPr>
        <w:t xml:space="preserve">going to </w:t>
      </w:r>
      <w:r w:rsidRPr="00E15D7E">
        <w:rPr>
          <w:sz w:val="22"/>
          <w:szCs w:val="22"/>
        </w:rPr>
        <w:t>grant</w:t>
      </w:r>
      <w:r w:rsidRPr="00E15D7E">
        <w:rPr>
          <w:spacing w:val="-5"/>
          <w:sz w:val="22"/>
          <w:szCs w:val="22"/>
        </w:rPr>
        <w:t xml:space="preserve"> </w:t>
      </w:r>
      <w:r w:rsidRPr="00E15D7E">
        <w:rPr>
          <w:sz w:val="22"/>
          <w:szCs w:val="22"/>
        </w:rPr>
        <w:t>another</w:t>
      </w:r>
      <w:r w:rsidRPr="00E15D7E">
        <w:rPr>
          <w:spacing w:val="-3"/>
          <w:sz w:val="22"/>
          <w:szCs w:val="22"/>
        </w:rPr>
        <w:t xml:space="preserve"> </w:t>
      </w:r>
      <w:r w:rsidRPr="00E15D7E">
        <w:rPr>
          <w:sz w:val="22"/>
          <w:szCs w:val="22"/>
        </w:rPr>
        <w:t>tenancy</w:t>
      </w:r>
      <w:r w:rsidRPr="00E15D7E">
        <w:rPr>
          <w:spacing w:val="-3"/>
          <w:sz w:val="22"/>
          <w:szCs w:val="22"/>
        </w:rPr>
        <w:t xml:space="preserve"> </w:t>
      </w:r>
      <w:r w:rsidRPr="00E15D7E">
        <w:rPr>
          <w:sz w:val="22"/>
          <w:szCs w:val="22"/>
        </w:rPr>
        <w:t>on</w:t>
      </w:r>
      <w:r w:rsidRPr="00E15D7E">
        <w:rPr>
          <w:spacing w:val="-3"/>
          <w:sz w:val="22"/>
          <w:szCs w:val="22"/>
        </w:rPr>
        <w:t xml:space="preserve"> </w:t>
      </w:r>
      <w:r w:rsidRPr="00E15D7E">
        <w:rPr>
          <w:sz w:val="22"/>
          <w:szCs w:val="22"/>
        </w:rPr>
        <w:t>expiry</w:t>
      </w:r>
      <w:r w:rsidRPr="00E15D7E">
        <w:rPr>
          <w:spacing w:val="-3"/>
          <w:sz w:val="22"/>
          <w:szCs w:val="22"/>
        </w:rPr>
        <w:t xml:space="preserve"> </w:t>
      </w:r>
      <w:r w:rsidRPr="00E15D7E">
        <w:rPr>
          <w:sz w:val="22"/>
          <w:szCs w:val="22"/>
        </w:rPr>
        <w:t>of</w:t>
      </w:r>
      <w:r w:rsidRPr="00E15D7E">
        <w:rPr>
          <w:spacing w:val="-3"/>
          <w:sz w:val="22"/>
          <w:szCs w:val="22"/>
        </w:rPr>
        <w:t xml:space="preserve"> </w:t>
      </w:r>
      <w:r w:rsidRPr="00E15D7E">
        <w:rPr>
          <w:sz w:val="22"/>
          <w:szCs w:val="22"/>
        </w:rPr>
        <w:t>the</w:t>
      </w:r>
      <w:r w:rsidRPr="00E15D7E">
        <w:rPr>
          <w:spacing w:val="-3"/>
          <w:sz w:val="22"/>
          <w:szCs w:val="22"/>
        </w:rPr>
        <w:t xml:space="preserve"> </w:t>
      </w:r>
      <w:r w:rsidRPr="00E15D7E">
        <w:rPr>
          <w:sz w:val="22"/>
          <w:szCs w:val="22"/>
        </w:rPr>
        <w:t>existing</w:t>
      </w:r>
      <w:r w:rsidRPr="00E15D7E">
        <w:rPr>
          <w:spacing w:val="-3"/>
          <w:sz w:val="22"/>
          <w:szCs w:val="22"/>
        </w:rPr>
        <w:t xml:space="preserve"> </w:t>
      </w:r>
      <w:r w:rsidRPr="00E15D7E">
        <w:rPr>
          <w:sz w:val="22"/>
          <w:szCs w:val="22"/>
        </w:rPr>
        <w:t>fixed</w:t>
      </w:r>
      <w:r w:rsidRPr="00E15D7E">
        <w:rPr>
          <w:spacing w:val="-3"/>
          <w:sz w:val="22"/>
          <w:szCs w:val="22"/>
        </w:rPr>
        <w:t xml:space="preserve"> </w:t>
      </w:r>
      <w:r w:rsidRPr="00E15D7E">
        <w:rPr>
          <w:sz w:val="22"/>
          <w:szCs w:val="22"/>
        </w:rPr>
        <w:t>term or that we propose to end the tenancy.</w:t>
      </w:r>
    </w:p>
    <w:p w14:paraId="1FFA3DE9" w14:textId="77777777" w:rsidR="00EC747E" w:rsidRPr="00E15D7E" w:rsidRDefault="00EC747E" w:rsidP="00E15D7E">
      <w:pPr>
        <w:pStyle w:val="BodyText"/>
        <w:spacing w:before="202"/>
        <w:ind w:left="113"/>
        <w:jc w:val="both"/>
        <w:rPr>
          <w:sz w:val="22"/>
          <w:szCs w:val="22"/>
        </w:rPr>
      </w:pPr>
      <w:r w:rsidRPr="00E15D7E">
        <w:rPr>
          <w:sz w:val="22"/>
          <w:szCs w:val="22"/>
        </w:rPr>
        <w:t xml:space="preserve">Where we are not offering </w:t>
      </w:r>
      <w:proofErr w:type="gramStart"/>
      <w:r w:rsidRPr="00E15D7E">
        <w:rPr>
          <w:sz w:val="22"/>
          <w:szCs w:val="22"/>
        </w:rPr>
        <w:t>a new</w:t>
      </w:r>
      <w:proofErr w:type="gramEnd"/>
      <w:r w:rsidRPr="00E15D7E">
        <w:rPr>
          <w:sz w:val="22"/>
          <w:szCs w:val="22"/>
        </w:rPr>
        <w:t xml:space="preserve"> tenancy at the end of the fixed term, we will provide reasons for our decision. We will provide advice and where appropriate work with other agencies</w:t>
      </w:r>
      <w:r w:rsidRPr="00E15D7E">
        <w:rPr>
          <w:spacing w:val="-3"/>
          <w:sz w:val="22"/>
          <w:szCs w:val="22"/>
        </w:rPr>
        <w:t xml:space="preserve"> </w:t>
      </w:r>
      <w:r w:rsidRPr="00E15D7E">
        <w:rPr>
          <w:sz w:val="22"/>
          <w:szCs w:val="22"/>
        </w:rPr>
        <w:t>to</w:t>
      </w:r>
      <w:r w:rsidRPr="00E15D7E">
        <w:rPr>
          <w:spacing w:val="-4"/>
          <w:sz w:val="22"/>
          <w:szCs w:val="22"/>
        </w:rPr>
        <w:t xml:space="preserve"> </w:t>
      </w:r>
      <w:proofErr w:type="spellStart"/>
      <w:r w:rsidRPr="00E15D7E">
        <w:rPr>
          <w:sz w:val="22"/>
          <w:szCs w:val="22"/>
        </w:rPr>
        <w:t>maximise</w:t>
      </w:r>
      <w:proofErr w:type="spellEnd"/>
      <w:r w:rsidRPr="00E15D7E">
        <w:rPr>
          <w:spacing w:val="-7"/>
          <w:sz w:val="22"/>
          <w:szCs w:val="22"/>
        </w:rPr>
        <w:t xml:space="preserve"> </w:t>
      </w:r>
      <w:r w:rsidRPr="00E15D7E">
        <w:rPr>
          <w:sz w:val="22"/>
          <w:szCs w:val="22"/>
        </w:rPr>
        <w:t>opportunities</w:t>
      </w:r>
      <w:r w:rsidRPr="00E15D7E">
        <w:rPr>
          <w:spacing w:val="-5"/>
          <w:sz w:val="22"/>
          <w:szCs w:val="22"/>
        </w:rPr>
        <w:t xml:space="preserve"> </w:t>
      </w:r>
      <w:r w:rsidRPr="00E15D7E">
        <w:rPr>
          <w:sz w:val="22"/>
          <w:szCs w:val="22"/>
        </w:rPr>
        <w:t>for</w:t>
      </w:r>
      <w:r w:rsidRPr="00E15D7E">
        <w:rPr>
          <w:spacing w:val="-3"/>
          <w:sz w:val="22"/>
          <w:szCs w:val="22"/>
        </w:rPr>
        <w:t xml:space="preserve"> </w:t>
      </w:r>
      <w:r w:rsidRPr="00E15D7E">
        <w:rPr>
          <w:sz w:val="22"/>
          <w:szCs w:val="22"/>
        </w:rPr>
        <w:t>you</w:t>
      </w:r>
      <w:r w:rsidRPr="00E15D7E">
        <w:rPr>
          <w:spacing w:val="-3"/>
          <w:sz w:val="22"/>
          <w:szCs w:val="22"/>
        </w:rPr>
        <w:t xml:space="preserve"> </w:t>
      </w:r>
      <w:r w:rsidRPr="00E15D7E">
        <w:rPr>
          <w:sz w:val="22"/>
          <w:szCs w:val="22"/>
        </w:rPr>
        <w:t>to</w:t>
      </w:r>
      <w:r w:rsidRPr="00E15D7E">
        <w:rPr>
          <w:spacing w:val="-5"/>
          <w:sz w:val="22"/>
          <w:szCs w:val="22"/>
        </w:rPr>
        <w:t xml:space="preserve"> </w:t>
      </w:r>
      <w:r w:rsidRPr="00E15D7E">
        <w:rPr>
          <w:sz w:val="22"/>
          <w:szCs w:val="22"/>
        </w:rPr>
        <w:t>find</w:t>
      </w:r>
      <w:r w:rsidRPr="00E15D7E">
        <w:rPr>
          <w:spacing w:val="-4"/>
          <w:sz w:val="22"/>
          <w:szCs w:val="22"/>
        </w:rPr>
        <w:t xml:space="preserve"> </w:t>
      </w:r>
      <w:r w:rsidRPr="00E15D7E">
        <w:rPr>
          <w:sz w:val="22"/>
          <w:szCs w:val="22"/>
        </w:rPr>
        <w:t>accommodation</w:t>
      </w:r>
      <w:r w:rsidRPr="00E15D7E">
        <w:rPr>
          <w:spacing w:val="-5"/>
          <w:sz w:val="22"/>
          <w:szCs w:val="22"/>
        </w:rPr>
        <w:t xml:space="preserve"> </w:t>
      </w:r>
      <w:r w:rsidRPr="00E15D7E">
        <w:rPr>
          <w:sz w:val="22"/>
          <w:szCs w:val="22"/>
        </w:rPr>
        <w:t>elsewhere</w:t>
      </w:r>
      <w:r w:rsidRPr="00E15D7E">
        <w:rPr>
          <w:spacing w:val="-3"/>
          <w:sz w:val="22"/>
          <w:szCs w:val="22"/>
        </w:rPr>
        <w:t xml:space="preserve"> </w:t>
      </w:r>
      <w:r w:rsidRPr="00E15D7E">
        <w:rPr>
          <w:sz w:val="22"/>
          <w:szCs w:val="22"/>
        </w:rPr>
        <w:t>and</w:t>
      </w:r>
      <w:r w:rsidRPr="00E15D7E">
        <w:rPr>
          <w:spacing w:val="-5"/>
          <w:sz w:val="22"/>
          <w:szCs w:val="22"/>
        </w:rPr>
        <w:t xml:space="preserve"> </w:t>
      </w:r>
      <w:r w:rsidRPr="00E15D7E">
        <w:rPr>
          <w:sz w:val="22"/>
          <w:szCs w:val="22"/>
        </w:rPr>
        <w:t xml:space="preserve">provide details of how the decision can be </w:t>
      </w:r>
      <w:proofErr w:type="gramStart"/>
      <w:r w:rsidRPr="00E15D7E">
        <w:rPr>
          <w:sz w:val="22"/>
          <w:szCs w:val="22"/>
        </w:rPr>
        <w:t>appealed</w:t>
      </w:r>
      <w:proofErr w:type="gramEnd"/>
      <w:r w:rsidRPr="00E15D7E">
        <w:rPr>
          <w:sz w:val="22"/>
          <w:szCs w:val="22"/>
        </w:rPr>
        <w:t>.</w:t>
      </w:r>
    </w:p>
    <w:p w14:paraId="5E25E4DE" w14:textId="11EF356D" w:rsidR="00EC747E" w:rsidRPr="00E15D7E" w:rsidRDefault="00EC747E" w:rsidP="00E15D7E">
      <w:pPr>
        <w:pStyle w:val="BodyText"/>
        <w:spacing w:before="200"/>
        <w:ind w:left="113"/>
        <w:jc w:val="both"/>
        <w:rPr>
          <w:sz w:val="22"/>
          <w:szCs w:val="22"/>
        </w:rPr>
      </w:pPr>
      <w:r w:rsidRPr="00E15D7E">
        <w:rPr>
          <w:sz w:val="22"/>
          <w:szCs w:val="22"/>
        </w:rPr>
        <w:t xml:space="preserve">You will have the right to appeal against a decision not to grant another tenancy on the expiry of the fixed term. We </w:t>
      </w:r>
      <w:proofErr w:type="gramStart"/>
      <w:r w:rsidRPr="00E15D7E">
        <w:rPr>
          <w:sz w:val="22"/>
          <w:szCs w:val="22"/>
        </w:rPr>
        <w:t>will advise</w:t>
      </w:r>
      <w:proofErr w:type="gramEnd"/>
      <w:r w:rsidRPr="00E15D7E">
        <w:rPr>
          <w:sz w:val="22"/>
          <w:szCs w:val="22"/>
        </w:rPr>
        <w:t xml:space="preserve"> you of your right to appeal when we send you </w:t>
      </w:r>
      <w:r w:rsidR="00C70EFB" w:rsidRPr="00E15D7E">
        <w:rPr>
          <w:sz w:val="22"/>
          <w:szCs w:val="22"/>
        </w:rPr>
        <w:t xml:space="preserve">written </w:t>
      </w:r>
      <w:r w:rsidR="00251FCE" w:rsidRPr="00E15D7E">
        <w:rPr>
          <w:sz w:val="22"/>
          <w:szCs w:val="22"/>
        </w:rPr>
        <w:t>confirmation that</w:t>
      </w:r>
      <w:r w:rsidR="00C70EFB" w:rsidRPr="00E15D7E">
        <w:rPr>
          <w:sz w:val="22"/>
          <w:szCs w:val="22"/>
        </w:rPr>
        <w:t xml:space="preserve"> will </w:t>
      </w:r>
      <w:r w:rsidR="00672022" w:rsidRPr="00E15D7E">
        <w:rPr>
          <w:sz w:val="22"/>
          <w:szCs w:val="22"/>
        </w:rPr>
        <w:t>be ending your tenancy</w:t>
      </w:r>
      <w:r w:rsidRPr="00E15D7E">
        <w:rPr>
          <w:sz w:val="22"/>
          <w:szCs w:val="22"/>
        </w:rPr>
        <w:t>.</w:t>
      </w:r>
      <w:r w:rsidRPr="00E15D7E">
        <w:rPr>
          <w:spacing w:val="-2"/>
          <w:sz w:val="22"/>
          <w:szCs w:val="22"/>
        </w:rPr>
        <w:t xml:space="preserve"> </w:t>
      </w:r>
      <w:r w:rsidRPr="00E15D7E">
        <w:rPr>
          <w:sz w:val="22"/>
          <w:szCs w:val="22"/>
        </w:rPr>
        <w:t>Tenants</w:t>
      </w:r>
      <w:r w:rsidRPr="00E15D7E">
        <w:rPr>
          <w:spacing w:val="-2"/>
          <w:sz w:val="22"/>
          <w:szCs w:val="22"/>
        </w:rPr>
        <w:t xml:space="preserve"> </w:t>
      </w:r>
      <w:r w:rsidRPr="00E15D7E">
        <w:rPr>
          <w:sz w:val="22"/>
          <w:szCs w:val="22"/>
        </w:rPr>
        <w:t>will</w:t>
      </w:r>
      <w:r w:rsidRPr="00E15D7E">
        <w:rPr>
          <w:spacing w:val="-3"/>
          <w:sz w:val="22"/>
          <w:szCs w:val="22"/>
        </w:rPr>
        <w:t xml:space="preserve"> </w:t>
      </w:r>
      <w:r w:rsidRPr="00E15D7E">
        <w:rPr>
          <w:sz w:val="22"/>
          <w:szCs w:val="22"/>
        </w:rPr>
        <w:t>have</w:t>
      </w:r>
      <w:r w:rsidRPr="00E15D7E">
        <w:rPr>
          <w:spacing w:val="-2"/>
          <w:sz w:val="22"/>
          <w:szCs w:val="22"/>
        </w:rPr>
        <w:t xml:space="preserve"> </w:t>
      </w:r>
      <w:r w:rsidRPr="00E15D7E">
        <w:rPr>
          <w:sz w:val="22"/>
          <w:szCs w:val="22"/>
        </w:rPr>
        <w:t>the</w:t>
      </w:r>
      <w:r w:rsidRPr="00E15D7E">
        <w:rPr>
          <w:spacing w:val="-2"/>
          <w:sz w:val="22"/>
          <w:szCs w:val="22"/>
        </w:rPr>
        <w:t xml:space="preserve"> </w:t>
      </w:r>
      <w:r w:rsidRPr="00E15D7E">
        <w:rPr>
          <w:sz w:val="22"/>
          <w:szCs w:val="22"/>
        </w:rPr>
        <w:t>right to</w:t>
      </w:r>
      <w:r w:rsidRPr="00E15D7E">
        <w:rPr>
          <w:spacing w:val="-1"/>
          <w:sz w:val="22"/>
          <w:szCs w:val="22"/>
        </w:rPr>
        <w:t xml:space="preserve"> </w:t>
      </w:r>
      <w:r w:rsidRPr="00E15D7E">
        <w:rPr>
          <w:sz w:val="22"/>
          <w:szCs w:val="22"/>
        </w:rPr>
        <w:t>appeal</w:t>
      </w:r>
      <w:r w:rsidRPr="00E15D7E">
        <w:rPr>
          <w:spacing w:val="-2"/>
          <w:sz w:val="22"/>
          <w:szCs w:val="22"/>
        </w:rPr>
        <w:t xml:space="preserve"> </w:t>
      </w:r>
      <w:r w:rsidRPr="00E15D7E">
        <w:rPr>
          <w:sz w:val="22"/>
          <w:szCs w:val="22"/>
        </w:rPr>
        <w:t>our</w:t>
      </w:r>
      <w:r w:rsidRPr="00E15D7E">
        <w:rPr>
          <w:spacing w:val="-5"/>
          <w:sz w:val="22"/>
          <w:szCs w:val="22"/>
        </w:rPr>
        <w:t xml:space="preserve"> </w:t>
      </w:r>
      <w:r w:rsidRPr="00E15D7E">
        <w:rPr>
          <w:sz w:val="22"/>
          <w:szCs w:val="22"/>
        </w:rPr>
        <w:t>decision</w:t>
      </w:r>
      <w:r w:rsidRPr="00E15D7E">
        <w:rPr>
          <w:spacing w:val="-6"/>
          <w:sz w:val="22"/>
          <w:szCs w:val="22"/>
        </w:rPr>
        <w:t xml:space="preserve"> </w:t>
      </w:r>
      <w:r w:rsidRPr="00E15D7E">
        <w:rPr>
          <w:sz w:val="22"/>
          <w:szCs w:val="22"/>
        </w:rPr>
        <w:t>within</w:t>
      </w:r>
      <w:r w:rsidRPr="00E15D7E">
        <w:rPr>
          <w:spacing w:val="-2"/>
          <w:sz w:val="22"/>
          <w:szCs w:val="22"/>
        </w:rPr>
        <w:t xml:space="preserve"> </w:t>
      </w:r>
      <w:r w:rsidRPr="00E15D7E">
        <w:rPr>
          <w:sz w:val="22"/>
          <w:szCs w:val="22"/>
        </w:rPr>
        <w:t>21</w:t>
      </w:r>
      <w:r w:rsidRPr="00E15D7E">
        <w:rPr>
          <w:spacing w:val="-4"/>
          <w:sz w:val="22"/>
          <w:szCs w:val="22"/>
        </w:rPr>
        <w:t xml:space="preserve"> </w:t>
      </w:r>
      <w:r w:rsidRPr="00E15D7E">
        <w:rPr>
          <w:sz w:val="22"/>
          <w:szCs w:val="22"/>
        </w:rPr>
        <w:t>days</w:t>
      </w:r>
      <w:r w:rsidRPr="00E15D7E">
        <w:rPr>
          <w:spacing w:val="-4"/>
          <w:sz w:val="22"/>
          <w:szCs w:val="22"/>
        </w:rPr>
        <w:t xml:space="preserve"> </w:t>
      </w:r>
      <w:r w:rsidRPr="00E15D7E">
        <w:rPr>
          <w:sz w:val="22"/>
          <w:szCs w:val="22"/>
        </w:rPr>
        <w:t>of</w:t>
      </w:r>
      <w:r w:rsidRPr="00E15D7E">
        <w:rPr>
          <w:spacing w:val="-2"/>
          <w:sz w:val="22"/>
          <w:szCs w:val="22"/>
        </w:rPr>
        <w:t xml:space="preserve"> </w:t>
      </w:r>
      <w:r w:rsidRPr="00E15D7E">
        <w:rPr>
          <w:sz w:val="22"/>
          <w:szCs w:val="22"/>
        </w:rPr>
        <w:t xml:space="preserve">the </w:t>
      </w:r>
      <w:r w:rsidR="00672022" w:rsidRPr="00E15D7E">
        <w:rPr>
          <w:sz w:val="22"/>
          <w:szCs w:val="22"/>
        </w:rPr>
        <w:t>notice being served</w:t>
      </w:r>
      <w:r w:rsidRPr="00E15D7E">
        <w:rPr>
          <w:sz w:val="22"/>
          <w:szCs w:val="22"/>
        </w:rPr>
        <w:t>.</w:t>
      </w:r>
    </w:p>
    <w:p w14:paraId="6EC9EE97" w14:textId="77777777" w:rsidR="00EC747E" w:rsidRPr="00E15D7E" w:rsidRDefault="00EC747E" w:rsidP="00E15D7E">
      <w:pPr>
        <w:pStyle w:val="BodyText"/>
        <w:spacing w:before="199"/>
        <w:ind w:left="113"/>
        <w:jc w:val="both"/>
        <w:rPr>
          <w:sz w:val="22"/>
          <w:szCs w:val="22"/>
        </w:rPr>
      </w:pPr>
      <w:r w:rsidRPr="00E15D7E">
        <w:rPr>
          <w:sz w:val="22"/>
          <w:szCs w:val="22"/>
        </w:rPr>
        <w:t>Appeals</w:t>
      </w:r>
      <w:r w:rsidRPr="00E15D7E">
        <w:rPr>
          <w:spacing w:val="-3"/>
          <w:sz w:val="22"/>
          <w:szCs w:val="22"/>
        </w:rPr>
        <w:t xml:space="preserve"> </w:t>
      </w:r>
      <w:r w:rsidRPr="00E15D7E">
        <w:rPr>
          <w:sz w:val="22"/>
          <w:szCs w:val="22"/>
        </w:rPr>
        <w:t>will</w:t>
      </w:r>
      <w:r w:rsidRPr="00E15D7E">
        <w:rPr>
          <w:spacing w:val="-3"/>
          <w:sz w:val="22"/>
          <w:szCs w:val="22"/>
        </w:rPr>
        <w:t xml:space="preserve"> </w:t>
      </w:r>
      <w:r w:rsidRPr="00E15D7E">
        <w:rPr>
          <w:sz w:val="22"/>
          <w:szCs w:val="22"/>
        </w:rPr>
        <w:t>be</w:t>
      </w:r>
      <w:r w:rsidRPr="00E15D7E">
        <w:rPr>
          <w:spacing w:val="-3"/>
          <w:sz w:val="22"/>
          <w:szCs w:val="22"/>
        </w:rPr>
        <w:t xml:space="preserve"> </w:t>
      </w:r>
      <w:r w:rsidRPr="00E15D7E">
        <w:rPr>
          <w:sz w:val="22"/>
          <w:szCs w:val="22"/>
        </w:rPr>
        <w:t>considered</w:t>
      </w:r>
      <w:r w:rsidRPr="00E15D7E">
        <w:rPr>
          <w:spacing w:val="-2"/>
          <w:sz w:val="22"/>
          <w:szCs w:val="22"/>
        </w:rPr>
        <w:t xml:space="preserve"> </w:t>
      </w:r>
      <w:r w:rsidRPr="00E15D7E">
        <w:rPr>
          <w:sz w:val="22"/>
          <w:szCs w:val="22"/>
        </w:rPr>
        <w:t>by</w:t>
      </w:r>
      <w:r w:rsidRPr="00E15D7E">
        <w:rPr>
          <w:spacing w:val="-5"/>
          <w:sz w:val="22"/>
          <w:szCs w:val="22"/>
        </w:rPr>
        <w:t xml:space="preserve"> </w:t>
      </w:r>
      <w:r w:rsidRPr="00E15D7E">
        <w:rPr>
          <w:sz w:val="22"/>
          <w:szCs w:val="22"/>
        </w:rPr>
        <w:t>an</w:t>
      </w:r>
      <w:r w:rsidRPr="00E15D7E">
        <w:rPr>
          <w:spacing w:val="-5"/>
          <w:sz w:val="22"/>
          <w:szCs w:val="22"/>
        </w:rPr>
        <w:t xml:space="preserve"> </w:t>
      </w:r>
      <w:r w:rsidRPr="00E15D7E">
        <w:rPr>
          <w:sz w:val="22"/>
          <w:szCs w:val="22"/>
        </w:rPr>
        <w:t>internal</w:t>
      </w:r>
      <w:r w:rsidRPr="00E15D7E">
        <w:rPr>
          <w:spacing w:val="-2"/>
          <w:sz w:val="22"/>
          <w:szCs w:val="22"/>
        </w:rPr>
        <w:t xml:space="preserve"> </w:t>
      </w:r>
      <w:r w:rsidRPr="00E15D7E">
        <w:rPr>
          <w:sz w:val="22"/>
          <w:szCs w:val="22"/>
        </w:rPr>
        <w:t>appeals</w:t>
      </w:r>
      <w:r w:rsidRPr="00E15D7E">
        <w:rPr>
          <w:spacing w:val="-2"/>
          <w:sz w:val="22"/>
          <w:szCs w:val="22"/>
        </w:rPr>
        <w:t xml:space="preserve"> panel.</w:t>
      </w:r>
    </w:p>
    <w:p w14:paraId="53D2FDCE" w14:textId="77777777" w:rsidR="00EC747E" w:rsidRPr="00E15D7E" w:rsidRDefault="00EC747E" w:rsidP="00E15D7E">
      <w:pPr>
        <w:pStyle w:val="BodyText"/>
        <w:spacing w:before="200"/>
        <w:ind w:left="113"/>
        <w:jc w:val="both"/>
        <w:rPr>
          <w:sz w:val="22"/>
          <w:szCs w:val="22"/>
        </w:rPr>
      </w:pPr>
      <w:r w:rsidRPr="00E15D7E">
        <w:rPr>
          <w:sz w:val="22"/>
          <w:szCs w:val="22"/>
        </w:rPr>
        <w:t>An appeal will consider any new information alongside the evidence considered at the original</w:t>
      </w:r>
      <w:r w:rsidRPr="00E15D7E">
        <w:rPr>
          <w:spacing w:val="-3"/>
          <w:sz w:val="22"/>
          <w:szCs w:val="22"/>
        </w:rPr>
        <w:t xml:space="preserve"> </w:t>
      </w:r>
      <w:r w:rsidRPr="00E15D7E">
        <w:rPr>
          <w:sz w:val="22"/>
          <w:szCs w:val="22"/>
        </w:rPr>
        <w:t>decision.</w:t>
      </w:r>
      <w:r w:rsidRPr="00E15D7E">
        <w:rPr>
          <w:spacing w:val="-3"/>
          <w:sz w:val="22"/>
          <w:szCs w:val="22"/>
        </w:rPr>
        <w:t xml:space="preserve"> </w:t>
      </w:r>
      <w:r w:rsidRPr="00E15D7E">
        <w:rPr>
          <w:sz w:val="22"/>
          <w:szCs w:val="22"/>
        </w:rPr>
        <w:t>If</w:t>
      </w:r>
      <w:r w:rsidRPr="00E15D7E">
        <w:rPr>
          <w:spacing w:val="-3"/>
          <w:sz w:val="22"/>
          <w:szCs w:val="22"/>
        </w:rPr>
        <w:t xml:space="preserve"> </w:t>
      </w:r>
      <w:r w:rsidRPr="00E15D7E">
        <w:rPr>
          <w:sz w:val="22"/>
          <w:szCs w:val="22"/>
        </w:rPr>
        <w:t>the</w:t>
      </w:r>
      <w:r w:rsidRPr="00E15D7E">
        <w:rPr>
          <w:spacing w:val="-5"/>
          <w:sz w:val="22"/>
          <w:szCs w:val="22"/>
        </w:rPr>
        <w:t xml:space="preserve"> </w:t>
      </w:r>
      <w:r w:rsidRPr="00E15D7E">
        <w:rPr>
          <w:sz w:val="22"/>
          <w:szCs w:val="22"/>
        </w:rPr>
        <w:t>appeal finds</w:t>
      </w:r>
      <w:r w:rsidRPr="00E15D7E">
        <w:rPr>
          <w:spacing w:val="-3"/>
          <w:sz w:val="22"/>
          <w:szCs w:val="22"/>
        </w:rPr>
        <w:t xml:space="preserve"> </w:t>
      </w:r>
      <w:r w:rsidRPr="00E15D7E">
        <w:rPr>
          <w:sz w:val="22"/>
          <w:szCs w:val="22"/>
        </w:rPr>
        <w:t>that</w:t>
      </w:r>
      <w:r w:rsidRPr="00E15D7E">
        <w:rPr>
          <w:spacing w:val="-3"/>
          <w:sz w:val="22"/>
          <w:szCs w:val="22"/>
        </w:rPr>
        <w:t xml:space="preserve"> </w:t>
      </w:r>
      <w:r w:rsidRPr="00E15D7E">
        <w:rPr>
          <w:sz w:val="22"/>
          <w:szCs w:val="22"/>
        </w:rPr>
        <w:t>the</w:t>
      </w:r>
      <w:r w:rsidRPr="00E15D7E">
        <w:rPr>
          <w:spacing w:val="-5"/>
          <w:sz w:val="22"/>
          <w:szCs w:val="22"/>
        </w:rPr>
        <w:t xml:space="preserve"> </w:t>
      </w:r>
      <w:r w:rsidRPr="00E15D7E">
        <w:rPr>
          <w:sz w:val="22"/>
          <w:szCs w:val="22"/>
        </w:rPr>
        <w:t>original</w:t>
      </w:r>
      <w:r w:rsidRPr="00E15D7E">
        <w:rPr>
          <w:spacing w:val="-3"/>
          <w:sz w:val="22"/>
          <w:szCs w:val="22"/>
        </w:rPr>
        <w:t xml:space="preserve"> </w:t>
      </w:r>
      <w:r w:rsidRPr="00E15D7E">
        <w:rPr>
          <w:sz w:val="22"/>
          <w:szCs w:val="22"/>
        </w:rPr>
        <w:t>decision</w:t>
      </w:r>
      <w:r w:rsidRPr="00E15D7E">
        <w:rPr>
          <w:spacing w:val="-3"/>
          <w:sz w:val="22"/>
          <w:szCs w:val="22"/>
        </w:rPr>
        <w:t xml:space="preserve"> </w:t>
      </w:r>
      <w:r w:rsidRPr="00E15D7E">
        <w:rPr>
          <w:sz w:val="22"/>
          <w:szCs w:val="22"/>
        </w:rPr>
        <w:t>was</w:t>
      </w:r>
      <w:r w:rsidRPr="00E15D7E">
        <w:rPr>
          <w:spacing w:val="-5"/>
          <w:sz w:val="22"/>
          <w:szCs w:val="22"/>
        </w:rPr>
        <w:t xml:space="preserve"> </w:t>
      </w:r>
      <w:r w:rsidRPr="00E15D7E">
        <w:rPr>
          <w:sz w:val="22"/>
          <w:szCs w:val="22"/>
        </w:rPr>
        <w:t>not</w:t>
      </w:r>
      <w:r w:rsidRPr="00E15D7E">
        <w:rPr>
          <w:spacing w:val="-5"/>
          <w:sz w:val="22"/>
          <w:szCs w:val="22"/>
        </w:rPr>
        <w:t xml:space="preserve"> </w:t>
      </w:r>
      <w:r w:rsidRPr="00E15D7E">
        <w:rPr>
          <w:sz w:val="22"/>
          <w:szCs w:val="22"/>
        </w:rPr>
        <w:t>made</w:t>
      </w:r>
      <w:r w:rsidRPr="00E15D7E">
        <w:rPr>
          <w:spacing w:val="-3"/>
          <w:sz w:val="22"/>
          <w:szCs w:val="22"/>
        </w:rPr>
        <w:t xml:space="preserve"> </w:t>
      </w:r>
      <w:r w:rsidRPr="00E15D7E">
        <w:rPr>
          <w:sz w:val="22"/>
          <w:szCs w:val="22"/>
        </w:rPr>
        <w:t>in</w:t>
      </w:r>
      <w:r w:rsidRPr="00E15D7E">
        <w:rPr>
          <w:spacing w:val="-5"/>
          <w:sz w:val="22"/>
          <w:szCs w:val="22"/>
        </w:rPr>
        <w:t xml:space="preserve"> </w:t>
      </w:r>
      <w:r w:rsidRPr="00E15D7E">
        <w:rPr>
          <w:sz w:val="22"/>
          <w:szCs w:val="22"/>
        </w:rPr>
        <w:t>accordance with our policy the decision will be overturned.</w:t>
      </w:r>
    </w:p>
    <w:p w14:paraId="63E51E55" w14:textId="5D67E06C" w:rsidR="00AE0273" w:rsidRPr="00E15D7E" w:rsidRDefault="00EC747E" w:rsidP="00E15D7E">
      <w:pPr>
        <w:pStyle w:val="BodyText"/>
        <w:spacing w:before="201"/>
        <w:ind w:left="113"/>
        <w:jc w:val="both"/>
        <w:rPr>
          <w:sz w:val="22"/>
          <w:szCs w:val="22"/>
        </w:rPr>
      </w:pPr>
      <w:r w:rsidRPr="00E15D7E">
        <w:rPr>
          <w:sz w:val="22"/>
          <w:szCs w:val="22"/>
        </w:rPr>
        <w:t>Where a decision is made not to renew the tenancy, we may use the range of powers available</w:t>
      </w:r>
      <w:r w:rsidRPr="00E15D7E">
        <w:rPr>
          <w:spacing w:val="-2"/>
          <w:sz w:val="22"/>
          <w:szCs w:val="22"/>
        </w:rPr>
        <w:t xml:space="preserve"> </w:t>
      </w:r>
      <w:r w:rsidRPr="00E15D7E">
        <w:rPr>
          <w:sz w:val="22"/>
          <w:szCs w:val="22"/>
        </w:rPr>
        <w:t>in</w:t>
      </w:r>
      <w:r w:rsidRPr="00E15D7E">
        <w:rPr>
          <w:spacing w:val="-2"/>
          <w:sz w:val="22"/>
          <w:szCs w:val="22"/>
        </w:rPr>
        <w:t xml:space="preserve"> </w:t>
      </w:r>
      <w:r w:rsidRPr="00E15D7E">
        <w:rPr>
          <w:sz w:val="22"/>
          <w:szCs w:val="22"/>
        </w:rPr>
        <w:t>line</w:t>
      </w:r>
      <w:r w:rsidRPr="00E15D7E">
        <w:rPr>
          <w:spacing w:val="-1"/>
          <w:sz w:val="22"/>
          <w:szCs w:val="22"/>
        </w:rPr>
        <w:t xml:space="preserve"> </w:t>
      </w:r>
      <w:r w:rsidRPr="00E15D7E">
        <w:rPr>
          <w:sz w:val="22"/>
          <w:szCs w:val="22"/>
        </w:rPr>
        <w:t>with</w:t>
      </w:r>
      <w:r w:rsidRPr="00E15D7E">
        <w:rPr>
          <w:spacing w:val="-2"/>
          <w:sz w:val="22"/>
          <w:szCs w:val="22"/>
        </w:rPr>
        <w:t xml:space="preserve"> </w:t>
      </w:r>
      <w:r w:rsidRPr="00E15D7E">
        <w:rPr>
          <w:sz w:val="22"/>
          <w:szCs w:val="22"/>
        </w:rPr>
        <w:t>the</w:t>
      </w:r>
      <w:r w:rsidRPr="00E15D7E">
        <w:rPr>
          <w:spacing w:val="-2"/>
          <w:sz w:val="22"/>
          <w:szCs w:val="22"/>
        </w:rPr>
        <w:t xml:space="preserve"> </w:t>
      </w:r>
      <w:r w:rsidRPr="00E15D7E">
        <w:rPr>
          <w:sz w:val="22"/>
          <w:szCs w:val="22"/>
        </w:rPr>
        <w:t>tenancy</w:t>
      </w:r>
      <w:r w:rsidRPr="00E15D7E">
        <w:rPr>
          <w:spacing w:val="-5"/>
          <w:sz w:val="22"/>
          <w:szCs w:val="22"/>
        </w:rPr>
        <w:t xml:space="preserve"> </w:t>
      </w:r>
      <w:r w:rsidRPr="00E15D7E">
        <w:rPr>
          <w:sz w:val="22"/>
          <w:szCs w:val="22"/>
        </w:rPr>
        <w:t>agreement</w:t>
      </w:r>
      <w:r w:rsidRPr="00E15D7E">
        <w:rPr>
          <w:spacing w:val="-4"/>
          <w:sz w:val="22"/>
          <w:szCs w:val="22"/>
        </w:rPr>
        <w:t xml:space="preserve"> </w:t>
      </w:r>
      <w:r w:rsidRPr="00E15D7E">
        <w:rPr>
          <w:sz w:val="22"/>
          <w:szCs w:val="22"/>
        </w:rPr>
        <w:t>and</w:t>
      </w:r>
      <w:r w:rsidRPr="00E15D7E">
        <w:rPr>
          <w:spacing w:val="-2"/>
          <w:sz w:val="22"/>
          <w:szCs w:val="22"/>
        </w:rPr>
        <w:t xml:space="preserve"> </w:t>
      </w:r>
      <w:r w:rsidRPr="00E15D7E">
        <w:rPr>
          <w:sz w:val="22"/>
          <w:szCs w:val="22"/>
        </w:rPr>
        <w:t>the</w:t>
      </w:r>
      <w:r w:rsidRPr="00E15D7E">
        <w:rPr>
          <w:spacing w:val="-2"/>
          <w:sz w:val="22"/>
          <w:szCs w:val="22"/>
        </w:rPr>
        <w:t xml:space="preserve"> </w:t>
      </w:r>
      <w:r w:rsidRPr="00E15D7E">
        <w:rPr>
          <w:sz w:val="22"/>
          <w:szCs w:val="22"/>
        </w:rPr>
        <w:t>law</w:t>
      </w:r>
      <w:r w:rsidRPr="00E15D7E">
        <w:rPr>
          <w:spacing w:val="-5"/>
          <w:sz w:val="22"/>
          <w:szCs w:val="22"/>
        </w:rPr>
        <w:t xml:space="preserve"> </w:t>
      </w:r>
      <w:r w:rsidRPr="00E15D7E">
        <w:rPr>
          <w:sz w:val="22"/>
          <w:szCs w:val="22"/>
        </w:rPr>
        <w:t>to</w:t>
      </w:r>
      <w:r w:rsidRPr="00E15D7E">
        <w:rPr>
          <w:spacing w:val="-3"/>
          <w:sz w:val="22"/>
          <w:szCs w:val="22"/>
        </w:rPr>
        <w:t xml:space="preserve"> </w:t>
      </w:r>
      <w:r w:rsidRPr="00E15D7E">
        <w:rPr>
          <w:sz w:val="22"/>
          <w:szCs w:val="22"/>
        </w:rPr>
        <w:t>bring the</w:t>
      </w:r>
      <w:r w:rsidRPr="00E15D7E">
        <w:rPr>
          <w:spacing w:val="-4"/>
          <w:sz w:val="22"/>
          <w:szCs w:val="22"/>
        </w:rPr>
        <w:t xml:space="preserve"> </w:t>
      </w:r>
      <w:r w:rsidRPr="00E15D7E">
        <w:rPr>
          <w:sz w:val="22"/>
          <w:szCs w:val="22"/>
        </w:rPr>
        <w:t>tenancy</w:t>
      </w:r>
      <w:r w:rsidRPr="00E15D7E">
        <w:rPr>
          <w:spacing w:val="-2"/>
          <w:sz w:val="22"/>
          <w:szCs w:val="22"/>
        </w:rPr>
        <w:t xml:space="preserve"> </w:t>
      </w:r>
      <w:r w:rsidRPr="00E15D7E">
        <w:rPr>
          <w:sz w:val="22"/>
          <w:szCs w:val="22"/>
        </w:rPr>
        <w:t>to</w:t>
      </w:r>
      <w:r w:rsidRPr="00E15D7E">
        <w:rPr>
          <w:spacing w:val="-2"/>
          <w:sz w:val="22"/>
          <w:szCs w:val="22"/>
        </w:rPr>
        <w:t xml:space="preserve"> </w:t>
      </w:r>
      <w:r w:rsidRPr="00E15D7E">
        <w:rPr>
          <w:sz w:val="22"/>
          <w:szCs w:val="22"/>
        </w:rPr>
        <w:t>an</w:t>
      </w:r>
      <w:r w:rsidRPr="00E15D7E">
        <w:rPr>
          <w:spacing w:val="-2"/>
          <w:sz w:val="22"/>
          <w:szCs w:val="22"/>
        </w:rPr>
        <w:t xml:space="preserve"> </w:t>
      </w:r>
      <w:r w:rsidRPr="00E15D7E">
        <w:rPr>
          <w:sz w:val="22"/>
          <w:szCs w:val="22"/>
        </w:rPr>
        <w:t>end.</w:t>
      </w:r>
    </w:p>
    <w:p w14:paraId="47A58B7D" w14:textId="70C8B8E5" w:rsidR="2A586A43" w:rsidRDefault="2A586A43" w:rsidP="00F732DD">
      <w:pPr>
        <w:pStyle w:val="BodyText"/>
        <w:spacing w:before="201"/>
      </w:pPr>
    </w:p>
    <w:sectPr w:rsidR="2A586A43" w:rsidSect="0041003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1FDD" w14:textId="77777777" w:rsidR="0084597D" w:rsidRDefault="0084597D" w:rsidP="009A186E">
      <w:pPr>
        <w:spacing w:after="0" w:line="240" w:lineRule="auto"/>
      </w:pPr>
      <w:r>
        <w:separator/>
      </w:r>
    </w:p>
  </w:endnote>
  <w:endnote w:type="continuationSeparator" w:id="0">
    <w:p w14:paraId="0915FBBF" w14:textId="77777777" w:rsidR="0084597D" w:rsidRDefault="0084597D" w:rsidP="009A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AF5E" w14:textId="77777777" w:rsidR="00F732DD" w:rsidRDefault="00F73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7416" w14:textId="01EE9A09" w:rsidR="00F732DD" w:rsidRDefault="00A04F83">
    <w:pPr>
      <w:pStyle w:val="Footer"/>
    </w:pPr>
    <w:r>
      <w:t>Version 1</w:t>
    </w:r>
    <w:r w:rsidR="00F732DD">
      <w:tab/>
      <w:t>Tenure Policy</w:t>
    </w:r>
    <w:r w:rsidR="00F732DD">
      <w:tab/>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2B625" w14:textId="77777777" w:rsidR="00F732DD" w:rsidRDefault="00F7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DA2C" w14:textId="77777777" w:rsidR="0084597D" w:rsidRDefault="0084597D" w:rsidP="009A186E">
      <w:pPr>
        <w:spacing w:after="0" w:line="240" w:lineRule="auto"/>
      </w:pPr>
      <w:r>
        <w:separator/>
      </w:r>
    </w:p>
  </w:footnote>
  <w:footnote w:type="continuationSeparator" w:id="0">
    <w:p w14:paraId="050F174B" w14:textId="77777777" w:rsidR="0084597D" w:rsidRDefault="0084597D" w:rsidP="009A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3AC3" w14:textId="77777777" w:rsidR="00F732DD" w:rsidRDefault="00F73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BB58" w14:textId="399802A4" w:rsidR="00E01CD2" w:rsidRPr="00E01CD2" w:rsidRDefault="00E01CD2">
    <w:pPr>
      <w:pStyle w:val="Header"/>
      <w:rPr>
        <w:b/>
        <w:b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970E" w14:textId="77777777" w:rsidR="00F732DD" w:rsidRDefault="00F73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7E6C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0015500" o:spid="_x0000_i1025" type="#_x0000_t75" style="width:169pt;height:169pt;visibility:visible;mso-wrap-style:square">
            <v:imagedata r:id="rId1" o:title=""/>
          </v:shape>
        </w:pict>
      </mc:Choice>
      <mc:Fallback>
        <w:drawing>
          <wp:inline distT="0" distB="0" distL="0" distR="0" wp14:anchorId="58E1D9D4">
            <wp:extent cx="2146300" cy="2146300"/>
            <wp:effectExtent l="0" t="0" r="0" b="0"/>
            <wp:docPr id="1720015500" name="Picture 172001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mc:Fallback>
    </mc:AlternateContent>
  </w:numPicBullet>
  <w:abstractNum w:abstractNumId="0" w15:restartNumberingAfterBreak="0">
    <w:nsid w:val="04C1117B"/>
    <w:multiLevelType w:val="hybridMultilevel"/>
    <w:tmpl w:val="0336917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5523D86"/>
    <w:multiLevelType w:val="hybridMultilevel"/>
    <w:tmpl w:val="F4E803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17B5E"/>
    <w:multiLevelType w:val="hybridMultilevel"/>
    <w:tmpl w:val="E6C6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025DE"/>
    <w:multiLevelType w:val="hybridMultilevel"/>
    <w:tmpl w:val="FF6EA43E"/>
    <w:lvl w:ilvl="0" w:tplc="08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 w15:restartNumberingAfterBreak="0">
    <w:nsid w:val="0FAA1ACD"/>
    <w:multiLevelType w:val="multilevel"/>
    <w:tmpl w:val="C9041F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1F29A6"/>
    <w:multiLevelType w:val="hybridMultilevel"/>
    <w:tmpl w:val="F0CED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5B576A3"/>
    <w:multiLevelType w:val="hybridMultilevel"/>
    <w:tmpl w:val="C2E2D3E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65A2BC8"/>
    <w:multiLevelType w:val="hybridMultilevel"/>
    <w:tmpl w:val="ACE41990"/>
    <w:lvl w:ilvl="0" w:tplc="DCBCC9D8">
      <w:start w:val="1"/>
      <w:numFmt w:val="decimal"/>
      <w:lvlText w:val="%1.1 "/>
      <w:lvlJc w:val="left"/>
      <w:pPr>
        <w:ind w:left="436"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8" w15:restartNumberingAfterBreak="0">
    <w:nsid w:val="1C724023"/>
    <w:multiLevelType w:val="multilevel"/>
    <w:tmpl w:val="134E0BD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D3D99"/>
    <w:multiLevelType w:val="hybridMultilevel"/>
    <w:tmpl w:val="EAAC45AE"/>
    <w:lvl w:ilvl="0" w:tplc="3A4E0A5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0081701"/>
    <w:multiLevelType w:val="hybridMultilevel"/>
    <w:tmpl w:val="D84695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3425DD3"/>
    <w:multiLevelType w:val="hybridMultilevel"/>
    <w:tmpl w:val="7C067550"/>
    <w:lvl w:ilvl="0" w:tplc="2BDAD18A">
      <w:start w:val="4"/>
      <w:numFmt w:val="bullet"/>
      <w:lvlText w:val="-"/>
      <w:lvlJc w:val="left"/>
      <w:pPr>
        <w:ind w:left="1212"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49772E8"/>
    <w:multiLevelType w:val="hybridMultilevel"/>
    <w:tmpl w:val="DB72652E"/>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28B55181"/>
    <w:multiLevelType w:val="hybridMultilevel"/>
    <w:tmpl w:val="9AC4D8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D5A22FE"/>
    <w:multiLevelType w:val="hybridMultilevel"/>
    <w:tmpl w:val="2EFE3B92"/>
    <w:lvl w:ilvl="0" w:tplc="08090001">
      <w:start w:val="1"/>
      <w:numFmt w:val="bullet"/>
      <w:lvlText w:val=""/>
      <w:lvlJc w:val="left"/>
      <w:pPr>
        <w:ind w:left="1212"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5" w15:restartNumberingAfterBreak="0">
    <w:nsid w:val="391E7844"/>
    <w:multiLevelType w:val="hybridMultilevel"/>
    <w:tmpl w:val="4CBC38F6"/>
    <w:lvl w:ilvl="0" w:tplc="42507526">
      <w:start w:val="1"/>
      <w:numFmt w:val="decimal"/>
      <w:lvlText w:val="%1"/>
      <w:lvlJc w:val="left"/>
      <w:pPr>
        <w:ind w:left="72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33584"/>
    <w:multiLevelType w:val="hybridMultilevel"/>
    <w:tmpl w:val="CE2019C8"/>
    <w:lvl w:ilvl="0" w:tplc="2BDAD18A">
      <w:start w:val="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A51FA8"/>
    <w:multiLevelType w:val="hybridMultilevel"/>
    <w:tmpl w:val="490CD9B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40C34AD"/>
    <w:multiLevelType w:val="hybridMultilevel"/>
    <w:tmpl w:val="4940AB8C"/>
    <w:lvl w:ilvl="0" w:tplc="2BDAD18A">
      <w:start w:val="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9713ABF"/>
    <w:multiLevelType w:val="hybridMultilevel"/>
    <w:tmpl w:val="F3F25246"/>
    <w:lvl w:ilvl="0" w:tplc="9D94C038">
      <w:numFmt w:val="bullet"/>
      <w:lvlText w:val=""/>
      <w:lvlJc w:val="left"/>
      <w:pPr>
        <w:ind w:left="473" w:hanging="360"/>
      </w:pPr>
      <w:rPr>
        <w:rFonts w:ascii="Symbol" w:eastAsia="Symbol" w:hAnsi="Symbol" w:cs="Symbol" w:hint="default"/>
        <w:b w:val="0"/>
        <w:bCs w:val="0"/>
        <w:i w:val="0"/>
        <w:iCs w:val="0"/>
        <w:spacing w:val="0"/>
        <w:w w:val="100"/>
        <w:sz w:val="24"/>
        <w:szCs w:val="24"/>
        <w:lang w:val="en-US" w:eastAsia="en-US" w:bidi="ar-SA"/>
      </w:rPr>
    </w:lvl>
    <w:lvl w:ilvl="1" w:tplc="B6E28004">
      <w:numFmt w:val="bullet"/>
      <w:lvlText w:val="•"/>
      <w:lvlJc w:val="left"/>
      <w:pPr>
        <w:ind w:left="1418" w:hanging="360"/>
      </w:pPr>
      <w:rPr>
        <w:rFonts w:hint="default"/>
        <w:lang w:val="en-US" w:eastAsia="en-US" w:bidi="ar-SA"/>
      </w:rPr>
    </w:lvl>
    <w:lvl w:ilvl="2" w:tplc="A6AE132C">
      <w:numFmt w:val="bullet"/>
      <w:lvlText w:val="•"/>
      <w:lvlJc w:val="left"/>
      <w:pPr>
        <w:ind w:left="2357" w:hanging="360"/>
      </w:pPr>
      <w:rPr>
        <w:rFonts w:hint="default"/>
        <w:lang w:val="en-US" w:eastAsia="en-US" w:bidi="ar-SA"/>
      </w:rPr>
    </w:lvl>
    <w:lvl w:ilvl="3" w:tplc="DD7ECC34">
      <w:numFmt w:val="bullet"/>
      <w:lvlText w:val="•"/>
      <w:lvlJc w:val="left"/>
      <w:pPr>
        <w:ind w:left="3295" w:hanging="360"/>
      </w:pPr>
      <w:rPr>
        <w:rFonts w:hint="default"/>
        <w:lang w:val="en-US" w:eastAsia="en-US" w:bidi="ar-SA"/>
      </w:rPr>
    </w:lvl>
    <w:lvl w:ilvl="4" w:tplc="716CDB0A">
      <w:numFmt w:val="bullet"/>
      <w:lvlText w:val="•"/>
      <w:lvlJc w:val="left"/>
      <w:pPr>
        <w:ind w:left="4234" w:hanging="360"/>
      </w:pPr>
      <w:rPr>
        <w:rFonts w:hint="default"/>
        <w:lang w:val="en-US" w:eastAsia="en-US" w:bidi="ar-SA"/>
      </w:rPr>
    </w:lvl>
    <w:lvl w:ilvl="5" w:tplc="8BC6C8A2">
      <w:numFmt w:val="bullet"/>
      <w:lvlText w:val="•"/>
      <w:lvlJc w:val="left"/>
      <w:pPr>
        <w:ind w:left="5173" w:hanging="360"/>
      </w:pPr>
      <w:rPr>
        <w:rFonts w:hint="default"/>
        <w:lang w:val="en-US" w:eastAsia="en-US" w:bidi="ar-SA"/>
      </w:rPr>
    </w:lvl>
    <w:lvl w:ilvl="6" w:tplc="760C35FA">
      <w:numFmt w:val="bullet"/>
      <w:lvlText w:val="•"/>
      <w:lvlJc w:val="left"/>
      <w:pPr>
        <w:ind w:left="6111" w:hanging="360"/>
      </w:pPr>
      <w:rPr>
        <w:rFonts w:hint="default"/>
        <w:lang w:val="en-US" w:eastAsia="en-US" w:bidi="ar-SA"/>
      </w:rPr>
    </w:lvl>
    <w:lvl w:ilvl="7" w:tplc="FFC4CF2C">
      <w:numFmt w:val="bullet"/>
      <w:lvlText w:val="•"/>
      <w:lvlJc w:val="left"/>
      <w:pPr>
        <w:ind w:left="7050" w:hanging="360"/>
      </w:pPr>
      <w:rPr>
        <w:rFonts w:hint="default"/>
        <w:lang w:val="en-US" w:eastAsia="en-US" w:bidi="ar-SA"/>
      </w:rPr>
    </w:lvl>
    <w:lvl w:ilvl="8" w:tplc="5AE46AF2">
      <w:numFmt w:val="bullet"/>
      <w:lvlText w:val="•"/>
      <w:lvlJc w:val="left"/>
      <w:pPr>
        <w:ind w:left="7989" w:hanging="360"/>
      </w:pPr>
      <w:rPr>
        <w:rFonts w:hint="default"/>
        <w:lang w:val="en-US" w:eastAsia="en-US" w:bidi="ar-SA"/>
      </w:rPr>
    </w:lvl>
  </w:abstractNum>
  <w:abstractNum w:abstractNumId="21" w15:restartNumberingAfterBreak="0">
    <w:nsid w:val="49A216D7"/>
    <w:multiLevelType w:val="hybridMultilevel"/>
    <w:tmpl w:val="E20224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999DCC"/>
    <w:multiLevelType w:val="multilevel"/>
    <w:tmpl w:val="9AC4F5D4"/>
    <w:lvl w:ilvl="0">
      <w:start w:val="1"/>
      <w:numFmt w:val="decimal"/>
      <w:lvlText w:val="%1"/>
      <w:lvlJc w:val="left"/>
      <w:pPr>
        <w:ind w:left="992" w:hanging="99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AC5CAF"/>
    <w:multiLevelType w:val="hybridMultilevel"/>
    <w:tmpl w:val="EB6ADC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B4B4F0B"/>
    <w:multiLevelType w:val="hybridMultilevel"/>
    <w:tmpl w:val="4BD0F664"/>
    <w:lvl w:ilvl="0" w:tplc="08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5" w15:restartNumberingAfterBreak="0">
    <w:nsid w:val="56B2308D"/>
    <w:multiLevelType w:val="hybridMultilevel"/>
    <w:tmpl w:val="59AEBCDA"/>
    <w:lvl w:ilvl="0" w:tplc="2BDAD18A">
      <w:start w:val="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78A23EB"/>
    <w:multiLevelType w:val="hybridMultilevel"/>
    <w:tmpl w:val="3D6CE9A6"/>
    <w:lvl w:ilvl="0" w:tplc="08090005">
      <w:start w:val="1"/>
      <w:numFmt w:val="bullet"/>
      <w:lvlText w:val=""/>
      <w:lvlJc w:val="left"/>
      <w:pPr>
        <w:ind w:left="11808" w:hanging="360"/>
      </w:pPr>
      <w:rPr>
        <w:rFonts w:ascii="Wingdings" w:hAnsi="Wingdings" w:hint="default"/>
      </w:rPr>
    </w:lvl>
    <w:lvl w:ilvl="1" w:tplc="08090003" w:tentative="1">
      <w:start w:val="1"/>
      <w:numFmt w:val="bullet"/>
      <w:lvlText w:val="o"/>
      <w:lvlJc w:val="left"/>
      <w:pPr>
        <w:ind w:left="12528" w:hanging="360"/>
      </w:pPr>
      <w:rPr>
        <w:rFonts w:ascii="Courier New" w:hAnsi="Courier New" w:cs="Courier New" w:hint="default"/>
      </w:rPr>
    </w:lvl>
    <w:lvl w:ilvl="2" w:tplc="08090005" w:tentative="1">
      <w:start w:val="1"/>
      <w:numFmt w:val="bullet"/>
      <w:lvlText w:val=""/>
      <w:lvlJc w:val="left"/>
      <w:pPr>
        <w:ind w:left="13248" w:hanging="360"/>
      </w:pPr>
      <w:rPr>
        <w:rFonts w:ascii="Wingdings" w:hAnsi="Wingdings" w:hint="default"/>
      </w:rPr>
    </w:lvl>
    <w:lvl w:ilvl="3" w:tplc="08090001" w:tentative="1">
      <w:start w:val="1"/>
      <w:numFmt w:val="bullet"/>
      <w:lvlText w:val=""/>
      <w:lvlJc w:val="left"/>
      <w:pPr>
        <w:ind w:left="13968" w:hanging="360"/>
      </w:pPr>
      <w:rPr>
        <w:rFonts w:ascii="Symbol" w:hAnsi="Symbol" w:hint="default"/>
      </w:rPr>
    </w:lvl>
    <w:lvl w:ilvl="4" w:tplc="08090003" w:tentative="1">
      <w:start w:val="1"/>
      <w:numFmt w:val="bullet"/>
      <w:lvlText w:val="o"/>
      <w:lvlJc w:val="left"/>
      <w:pPr>
        <w:ind w:left="14688" w:hanging="360"/>
      </w:pPr>
      <w:rPr>
        <w:rFonts w:ascii="Courier New" w:hAnsi="Courier New" w:cs="Courier New" w:hint="default"/>
      </w:rPr>
    </w:lvl>
    <w:lvl w:ilvl="5" w:tplc="08090005" w:tentative="1">
      <w:start w:val="1"/>
      <w:numFmt w:val="bullet"/>
      <w:lvlText w:val=""/>
      <w:lvlJc w:val="left"/>
      <w:pPr>
        <w:ind w:left="15408" w:hanging="360"/>
      </w:pPr>
      <w:rPr>
        <w:rFonts w:ascii="Wingdings" w:hAnsi="Wingdings" w:hint="default"/>
      </w:rPr>
    </w:lvl>
    <w:lvl w:ilvl="6" w:tplc="08090001" w:tentative="1">
      <w:start w:val="1"/>
      <w:numFmt w:val="bullet"/>
      <w:lvlText w:val=""/>
      <w:lvlJc w:val="left"/>
      <w:pPr>
        <w:ind w:left="16128" w:hanging="360"/>
      </w:pPr>
      <w:rPr>
        <w:rFonts w:ascii="Symbol" w:hAnsi="Symbol" w:hint="default"/>
      </w:rPr>
    </w:lvl>
    <w:lvl w:ilvl="7" w:tplc="08090003" w:tentative="1">
      <w:start w:val="1"/>
      <w:numFmt w:val="bullet"/>
      <w:lvlText w:val="o"/>
      <w:lvlJc w:val="left"/>
      <w:pPr>
        <w:ind w:left="16848" w:hanging="360"/>
      </w:pPr>
      <w:rPr>
        <w:rFonts w:ascii="Courier New" w:hAnsi="Courier New" w:cs="Courier New" w:hint="default"/>
      </w:rPr>
    </w:lvl>
    <w:lvl w:ilvl="8" w:tplc="08090005" w:tentative="1">
      <w:start w:val="1"/>
      <w:numFmt w:val="bullet"/>
      <w:lvlText w:val=""/>
      <w:lvlJc w:val="left"/>
      <w:pPr>
        <w:ind w:left="17568" w:hanging="360"/>
      </w:pPr>
      <w:rPr>
        <w:rFonts w:ascii="Wingdings" w:hAnsi="Wingdings" w:hint="default"/>
      </w:rPr>
    </w:lvl>
  </w:abstractNum>
  <w:abstractNum w:abstractNumId="27" w15:restartNumberingAfterBreak="0">
    <w:nsid w:val="58E35400"/>
    <w:multiLevelType w:val="hybridMultilevel"/>
    <w:tmpl w:val="81260B56"/>
    <w:lvl w:ilvl="0" w:tplc="08090005">
      <w:start w:val="1"/>
      <w:numFmt w:val="bullet"/>
      <w:lvlText w:val=""/>
      <w:lvlJc w:val="left"/>
      <w:pPr>
        <w:ind w:left="8108" w:hanging="360"/>
      </w:pPr>
      <w:rPr>
        <w:rFonts w:ascii="Wingdings" w:hAnsi="Wingdings" w:hint="default"/>
      </w:rPr>
    </w:lvl>
    <w:lvl w:ilvl="1" w:tplc="08090003" w:tentative="1">
      <w:start w:val="1"/>
      <w:numFmt w:val="bullet"/>
      <w:lvlText w:val="o"/>
      <w:lvlJc w:val="left"/>
      <w:pPr>
        <w:ind w:left="8828" w:hanging="360"/>
      </w:pPr>
      <w:rPr>
        <w:rFonts w:ascii="Courier New" w:hAnsi="Courier New" w:cs="Courier New" w:hint="default"/>
      </w:rPr>
    </w:lvl>
    <w:lvl w:ilvl="2" w:tplc="08090005" w:tentative="1">
      <w:start w:val="1"/>
      <w:numFmt w:val="bullet"/>
      <w:lvlText w:val=""/>
      <w:lvlJc w:val="left"/>
      <w:pPr>
        <w:ind w:left="9548" w:hanging="360"/>
      </w:pPr>
      <w:rPr>
        <w:rFonts w:ascii="Wingdings" w:hAnsi="Wingdings" w:hint="default"/>
      </w:rPr>
    </w:lvl>
    <w:lvl w:ilvl="3" w:tplc="08090001" w:tentative="1">
      <w:start w:val="1"/>
      <w:numFmt w:val="bullet"/>
      <w:lvlText w:val=""/>
      <w:lvlJc w:val="left"/>
      <w:pPr>
        <w:ind w:left="10268" w:hanging="360"/>
      </w:pPr>
      <w:rPr>
        <w:rFonts w:ascii="Symbol" w:hAnsi="Symbol" w:hint="default"/>
      </w:rPr>
    </w:lvl>
    <w:lvl w:ilvl="4" w:tplc="08090003" w:tentative="1">
      <w:start w:val="1"/>
      <w:numFmt w:val="bullet"/>
      <w:lvlText w:val="o"/>
      <w:lvlJc w:val="left"/>
      <w:pPr>
        <w:ind w:left="10988" w:hanging="360"/>
      </w:pPr>
      <w:rPr>
        <w:rFonts w:ascii="Courier New" w:hAnsi="Courier New" w:cs="Courier New" w:hint="default"/>
      </w:rPr>
    </w:lvl>
    <w:lvl w:ilvl="5" w:tplc="08090005" w:tentative="1">
      <w:start w:val="1"/>
      <w:numFmt w:val="bullet"/>
      <w:lvlText w:val=""/>
      <w:lvlJc w:val="left"/>
      <w:pPr>
        <w:ind w:left="11708" w:hanging="360"/>
      </w:pPr>
      <w:rPr>
        <w:rFonts w:ascii="Wingdings" w:hAnsi="Wingdings" w:hint="default"/>
      </w:rPr>
    </w:lvl>
    <w:lvl w:ilvl="6" w:tplc="08090001" w:tentative="1">
      <w:start w:val="1"/>
      <w:numFmt w:val="bullet"/>
      <w:lvlText w:val=""/>
      <w:lvlJc w:val="left"/>
      <w:pPr>
        <w:ind w:left="12428" w:hanging="360"/>
      </w:pPr>
      <w:rPr>
        <w:rFonts w:ascii="Symbol" w:hAnsi="Symbol" w:hint="default"/>
      </w:rPr>
    </w:lvl>
    <w:lvl w:ilvl="7" w:tplc="08090003" w:tentative="1">
      <w:start w:val="1"/>
      <w:numFmt w:val="bullet"/>
      <w:lvlText w:val="o"/>
      <w:lvlJc w:val="left"/>
      <w:pPr>
        <w:ind w:left="13148" w:hanging="360"/>
      </w:pPr>
      <w:rPr>
        <w:rFonts w:ascii="Courier New" w:hAnsi="Courier New" w:cs="Courier New" w:hint="default"/>
      </w:rPr>
    </w:lvl>
    <w:lvl w:ilvl="8" w:tplc="08090005" w:tentative="1">
      <w:start w:val="1"/>
      <w:numFmt w:val="bullet"/>
      <w:lvlText w:val=""/>
      <w:lvlJc w:val="left"/>
      <w:pPr>
        <w:ind w:left="13868" w:hanging="360"/>
      </w:pPr>
      <w:rPr>
        <w:rFonts w:ascii="Wingdings" w:hAnsi="Wingdings" w:hint="default"/>
      </w:rPr>
    </w:lvl>
  </w:abstractNum>
  <w:abstractNum w:abstractNumId="28" w15:restartNumberingAfterBreak="0">
    <w:nsid w:val="598C221F"/>
    <w:multiLevelType w:val="hybridMultilevel"/>
    <w:tmpl w:val="7DD6F3D2"/>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9" w15:restartNumberingAfterBreak="0">
    <w:nsid w:val="5D195EB4"/>
    <w:multiLevelType w:val="hybridMultilevel"/>
    <w:tmpl w:val="DFE4B2B8"/>
    <w:lvl w:ilvl="0" w:tplc="DCBCC9D8">
      <w:start w:val="1"/>
      <w:numFmt w:val="decimal"/>
      <w:lvlText w:val="%1.1 "/>
      <w:lvlJc w:val="left"/>
      <w:pPr>
        <w:ind w:left="144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27870D6"/>
    <w:multiLevelType w:val="hybridMultilevel"/>
    <w:tmpl w:val="39583E32"/>
    <w:lvl w:ilvl="0" w:tplc="DCBCC9D8">
      <w:start w:val="1"/>
      <w:numFmt w:val="decimal"/>
      <w:lvlText w:val="%1.1 "/>
      <w:lvlJc w:val="left"/>
      <w:pPr>
        <w:ind w:left="72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1F0A23"/>
    <w:multiLevelType w:val="hybridMultilevel"/>
    <w:tmpl w:val="276A93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6691E5F"/>
    <w:multiLevelType w:val="hybridMultilevel"/>
    <w:tmpl w:val="0512F1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ADD63F6"/>
    <w:multiLevelType w:val="hybridMultilevel"/>
    <w:tmpl w:val="382440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DD42BA6"/>
    <w:multiLevelType w:val="hybridMultilevel"/>
    <w:tmpl w:val="6D1420A6"/>
    <w:lvl w:ilvl="0" w:tplc="FFFFFFFF">
      <w:start w:val="1"/>
      <w:numFmt w:val="bullet"/>
      <w:lvlText w:val=""/>
      <w:lvlJc w:val="left"/>
      <w:pPr>
        <w:ind w:left="360" w:hanging="360"/>
      </w:pPr>
      <w:rPr>
        <w:rFonts w:ascii="Wingdings" w:hAnsi="Wingdings" w:hint="default"/>
      </w:rPr>
    </w:lvl>
    <w:lvl w:ilvl="1" w:tplc="0809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5E7017A"/>
    <w:multiLevelType w:val="hybridMultilevel"/>
    <w:tmpl w:val="153E734A"/>
    <w:lvl w:ilvl="0" w:tplc="43D6FB74">
      <w:start w:val="1"/>
      <w:numFmt w:val="bullet"/>
      <w:lvlText w:val="o"/>
      <w:lvlJc w:val="left"/>
      <w:pPr>
        <w:ind w:left="720" w:hanging="360"/>
      </w:pPr>
      <w:rPr>
        <w:rFonts w:ascii="Symbol" w:hAnsi="Symbol" w:hint="default"/>
      </w:rPr>
    </w:lvl>
    <w:lvl w:ilvl="1" w:tplc="5B8C6C50">
      <w:start w:val="1"/>
      <w:numFmt w:val="bullet"/>
      <w:lvlText w:val="o"/>
      <w:lvlJc w:val="left"/>
      <w:pPr>
        <w:ind w:left="1440" w:hanging="360"/>
      </w:pPr>
      <w:rPr>
        <w:rFonts w:ascii="Courier New" w:hAnsi="Courier New" w:hint="default"/>
      </w:rPr>
    </w:lvl>
    <w:lvl w:ilvl="2" w:tplc="B5D0996C">
      <w:start w:val="1"/>
      <w:numFmt w:val="bullet"/>
      <w:lvlText w:val=""/>
      <w:lvlJc w:val="left"/>
      <w:pPr>
        <w:ind w:left="2160" w:hanging="360"/>
      </w:pPr>
      <w:rPr>
        <w:rFonts w:ascii="Wingdings" w:hAnsi="Wingdings" w:hint="default"/>
      </w:rPr>
    </w:lvl>
    <w:lvl w:ilvl="3" w:tplc="6504D590">
      <w:start w:val="1"/>
      <w:numFmt w:val="bullet"/>
      <w:lvlText w:val=""/>
      <w:lvlJc w:val="left"/>
      <w:pPr>
        <w:ind w:left="2880" w:hanging="360"/>
      </w:pPr>
      <w:rPr>
        <w:rFonts w:ascii="Symbol" w:hAnsi="Symbol" w:hint="default"/>
      </w:rPr>
    </w:lvl>
    <w:lvl w:ilvl="4" w:tplc="A6E29E10">
      <w:start w:val="1"/>
      <w:numFmt w:val="bullet"/>
      <w:lvlText w:val="o"/>
      <w:lvlJc w:val="left"/>
      <w:pPr>
        <w:ind w:left="3600" w:hanging="360"/>
      </w:pPr>
      <w:rPr>
        <w:rFonts w:ascii="Courier New" w:hAnsi="Courier New" w:hint="default"/>
      </w:rPr>
    </w:lvl>
    <w:lvl w:ilvl="5" w:tplc="3C5C02E8">
      <w:start w:val="1"/>
      <w:numFmt w:val="bullet"/>
      <w:lvlText w:val=""/>
      <w:lvlJc w:val="left"/>
      <w:pPr>
        <w:ind w:left="4320" w:hanging="360"/>
      </w:pPr>
      <w:rPr>
        <w:rFonts w:ascii="Wingdings" w:hAnsi="Wingdings" w:hint="default"/>
      </w:rPr>
    </w:lvl>
    <w:lvl w:ilvl="6" w:tplc="F35CAF42">
      <w:start w:val="1"/>
      <w:numFmt w:val="bullet"/>
      <w:lvlText w:val=""/>
      <w:lvlJc w:val="left"/>
      <w:pPr>
        <w:ind w:left="5040" w:hanging="360"/>
      </w:pPr>
      <w:rPr>
        <w:rFonts w:ascii="Symbol" w:hAnsi="Symbol" w:hint="default"/>
      </w:rPr>
    </w:lvl>
    <w:lvl w:ilvl="7" w:tplc="1736FB5E">
      <w:start w:val="1"/>
      <w:numFmt w:val="bullet"/>
      <w:lvlText w:val="o"/>
      <w:lvlJc w:val="left"/>
      <w:pPr>
        <w:ind w:left="5760" w:hanging="360"/>
      </w:pPr>
      <w:rPr>
        <w:rFonts w:ascii="Courier New" w:hAnsi="Courier New" w:hint="default"/>
      </w:rPr>
    </w:lvl>
    <w:lvl w:ilvl="8" w:tplc="09BA7F5C">
      <w:start w:val="1"/>
      <w:numFmt w:val="bullet"/>
      <w:lvlText w:val=""/>
      <w:lvlJc w:val="left"/>
      <w:pPr>
        <w:ind w:left="6480" w:hanging="360"/>
      </w:pPr>
      <w:rPr>
        <w:rFonts w:ascii="Wingdings" w:hAnsi="Wingdings" w:hint="default"/>
      </w:rPr>
    </w:lvl>
  </w:abstractNum>
  <w:abstractNum w:abstractNumId="37" w15:restartNumberingAfterBreak="0">
    <w:nsid w:val="760F6221"/>
    <w:multiLevelType w:val="hybridMultilevel"/>
    <w:tmpl w:val="8EA4B47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6BA0D90"/>
    <w:multiLevelType w:val="hybridMultilevel"/>
    <w:tmpl w:val="03A8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D239C"/>
    <w:multiLevelType w:val="hybridMultilevel"/>
    <w:tmpl w:val="8F10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294269">
    <w:abstractNumId w:val="8"/>
  </w:num>
  <w:num w:numId="2" w16cid:durableId="1470201027">
    <w:abstractNumId w:val="36"/>
  </w:num>
  <w:num w:numId="3" w16cid:durableId="579682062">
    <w:abstractNumId w:val="22"/>
  </w:num>
  <w:num w:numId="4" w16cid:durableId="1489133731">
    <w:abstractNumId w:val="4"/>
  </w:num>
  <w:num w:numId="5" w16cid:durableId="742020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2873461">
    <w:abstractNumId w:val="34"/>
  </w:num>
  <w:num w:numId="7" w16cid:durableId="157501916">
    <w:abstractNumId w:val="34"/>
    <w:lvlOverride w:ilvl="0">
      <w:lvl w:ilvl="0">
        <w:numFmt w:val="decimal"/>
        <w:pStyle w:val="Level1"/>
        <w:lvlText w:val="%1"/>
        <w:lvlJc w:val="left"/>
        <w:pPr>
          <w:ind w:left="992" w:hanging="992"/>
        </w:pPr>
        <w:rPr>
          <w:b/>
          <w:bCs/>
          <w:color w:val="auto"/>
        </w:rPr>
      </w:lvl>
    </w:lvlOverride>
  </w:num>
  <w:num w:numId="8" w16cid:durableId="852382016">
    <w:abstractNumId w:val="9"/>
  </w:num>
  <w:num w:numId="9" w16cid:durableId="1368675081">
    <w:abstractNumId w:val="15"/>
  </w:num>
  <w:num w:numId="10" w16cid:durableId="1902211121">
    <w:abstractNumId w:val="30"/>
  </w:num>
  <w:num w:numId="11" w16cid:durableId="400641591">
    <w:abstractNumId w:val="29"/>
  </w:num>
  <w:num w:numId="12" w16cid:durableId="2079789914">
    <w:abstractNumId w:val="7"/>
  </w:num>
  <w:num w:numId="13" w16cid:durableId="580482183">
    <w:abstractNumId w:val="17"/>
  </w:num>
  <w:num w:numId="14" w16cid:durableId="1260329809">
    <w:abstractNumId w:val="12"/>
  </w:num>
  <w:num w:numId="15" w16cid:durableId="1807115679">
    <w:abstractNumId w:val="27"/>
  </w:num>
  <w:num w:numId="16" w16cid:durableId="1476532837">
    <w:abstractNumId w:val="26"/>
  </w:num>
  <w:num w:numId="17" w16cid:durableId="1062673298">
    <w:abstractNumId w:val="33"/>
  </w:num>
  <w:num w:numId="18" w16cid:durableId="320618015">
    <w:abstractNumId w:val="39"/>
  </w:num>
  <w:num w:numId="19" w16cid:durableId="883446301">
    <w:abstractNumId w:val="28"/>
  </w:num>
  <w:num w:numId="20" w16cid:durableId="923076724">
    <w:abstractNumId w:val="2"/>
  </w:num>
  <w:num w:numId="21" w16cid:durableId="1374772201">
    <w:abstractNumId w:val="21"/>
  </w:num>
  <w:num w:numId="22" w16cid:durableId="1592348582">
    <w:abstractNumId w:val="1"/>
  </w:num>
  <w:num w:numId="23" w16cid:durableId="199975688">
    <w:abstractNumId w:val="35"/>
  </w:num>
  <w:num w:numId="24" w16cid:durableId="622276401">
    <w:abstractNumId w:val="19"/>
  </w:num>
  <w:num w:numId="25" w16cid:durableId="660307446">
    <w:abstractNumId w:val="11"/>
  </w:num>
  <w:num w:numId="26" w16cid:durableId="760951374">
    <w:abstractNumId w:val="14"/>
  </w:num>
  <w:num w:numId="27" w16cid:durableId="881861810">
    <w:abstractNumId w:val="16"/>
  </w:num>
  <w:num w:numId="28" w16cid:durableId="1931040906">
    <w:abstractNumId w:val="3"/>
  </w:num>
  <w:num w:numId="29" w16cid:durableId="272637520">
    <w:abstractNumId w:val="25"/>
  </w:num>
  <w:num w:numId="30" w16cid:durableId="289407146">
    <w:abstractNumId w:val="24"/>
  </w:num>
  <w:num w:numId="31" w16cid:durableId="1580677249">
    <w:abstractNumId w:val="31"/>
  </w:num>
  <w:num w:numId="32" w16cid:durableId="1046490124">
    <w:abstractNumId w:val="5"/>
  </w:num>
  <w:num w:numId="33" w16cid:durableId="1742949167">
    <w:abstractNumId w:val="6"/>
  </w:num>
  <w:num w:numId="34" w16cid:durableId="1439718121">
    <w:abstractNumId w:val="32"/>
  </w:num>
  <w:num w:numId="35" w16cid:durableId="1580597539">
    <w:abstractNumId w:val="23"/>
  </w:num>
  <w:num w:numId="36" w16cid:durableId="1604410398">
    <w:abstractNumId w:val="18"/>
  </w:num>
  <w:num w:numId="37" w16cid:durableId="1424955424">
    <w:abstractNumId w:val="20"/>
  </w:num>
  <w:num w:numId="38" w16cid:durableId="2047749332">
    <w:abstractNumId w:val="37"/>
  </w:num>
  <w:num w:numId="39" w16cid:durableId="334041746">
    <w:abstractNumId w:val="10"/>
  </w:num>
  <w:num w:numId="40" w16cid:durableId="1916544816">
    <w:abstractNumId w:val="0"/>
  </w:num>
  <w:num w:numId="41" w16cid:durableId="83553880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42" w16cid:durableId="82112115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43" w16cid:durableId="357120871">
    <w:abstractNumId w:val="13"/>
  </w:num>
  <w:num w:numId="44" w16cid:durableId="7452051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6E"/>
    <w:rsid w:val="0001508A"/>
    <w:rsid w:val="00017C5E"/>
    <w:rsid w:val="00020AE0"/>
    <w:rsid w:val="000222EB"/>
    <w:rsid w:val="00027D3B"/>
    <w:rsid w:val="00032E00"/>
    <w:rsid w:val="00037DA3"/>
    <w:rsid w:val="00044ABE"/>
    <w:rsid w:val="00047D6D"/>
    <w:rsid w:val="00052831"/>
    <w:rsid w:val="0006217D"/>
    <w:rsid w:val="000743CD"/>
    <w:rsid w:val="0007697C"/>
    <w:rsid w:val="000772B2"/>
    <w:rsid w:val="00082A83"/>
    <w:rsid w:val="00082EFB"/>
    <w:rsid w:val="00087AD7"/>
    <w:rsid w:val="000924E6"/>
    <w:rsid w:val="000B0122"/>
    <w:rsid w:val="000C112B"/>
    <w:rsid w:val="000C6034"/>
    <w:rsid w:val="000F16AA"/>
    <w:rsid w:val="00102EB6"/>
    <w:rsid w:val="001228D3"/>
    <w:rsid w:val="00123016"/>
    <w:rsid w:val="001269C2"/>
    <w:rsid w:val="00135A3C"/>
    <w:rsid w:val="00135CB6"/>
    <w:rsid w:val="001548EF"/>
    <w:rsid w:val="001565EC"/>
    <w:rsid w:val="0016197D"/>
    <w:rsid w:val="00170121"/>
    <w:rsid w:val="0017183B"/>
    <w:rsid w:val="0017692D"/>
    <w:rsid w:val="00181508"/>
    <w:rsid w:val="00182AB5"/>
    <w:rsid w:val="00190F1F"/>
    <w:rsid w:val="0019329C"/>
    <w:rsid w:val="001A62D0"/>
    <w:rsid w:val="001A7FA6"/>
    <w:rsid w:val="001B0B2B"/>
    <w:rsid w:val="001B226A"/>
    <w:rsid w:val="001C2C4F"/>
    <w:rsid w:val="001C506C"/>
    <w:rsid w:val="001C6B85"/>
    <w:rsid w:val="001D791F"/>
    <w:rsid w:val="001E2FEA"/>
    <w:rsid w:val="001F1C09"/>
    <w:rsid w:val="001F5D27"/>
    <w:rsid w:val="002031BC"/>
    <w:rsid w:val="002103C4"/>
    <w:rsid w:val="0021741C"/>
    <w:rsid w:val="00225335"/>
    <w:rsid w:val="00236145"/>
    <w:rsid w:val="00236526"/>
    <w:rsid w:val="00247B86"/>
    <w:rsid w:val="002507AD"/>
    <w:rsid w:val="00251FCE"/>
    <w:rsid w:val="002561B1"/>
    <w:rsid w:val="0025639B"/>
    <w:rsid w:val="00256D2D"/>
    <w:rsid w:val="00262F04"/>
    <w:rsid w:val="002871DF"/>
    <w:rsid w:val="00287D65"/>
    <w:rsid w:val="002B0C35"/>
    <w:rsid w:val="002B1A5C"/>
    <w:rsid w:val="002D1BE9"/>
    <w:rsid w:val="002D7591"/>
    <w:rsid w:val="002E720E"/>
    <w:rsid w:val="002F2911"/>
    <w:rsid w:val="003142B5"/>
    <w:rsid w:val="00314789"/>
    <w:rsid w:val="00324247"/>
    <w:rsid w:val="0034145E"/>
    <w:rsid w:val="00344226"/>
    <w:rsid w:val="00346919"/>
    <w:rsid w:val="00350A8F"/>
    <w:rsid w:val="00356F39"/>
    <w:rsid w:val="00363A85"/>
    <w:rsid w:val="0037216E"/>
    <w:rsid w:val="00377400"/>
    <w:rsid w:val="00385CE7"/>
    <w:rsid w:val="0038725D"/>
    <w:rsid w:val="00387AE5"/>
    <w:rsid w:val="0039279F"/>
    <w:rsid w:val="003957A9"/>
    <w:rsid w:val="003966B7"/>
    <w:rsid w:val="00396987"/>
    <w:rsid w:val="003A002B"/>
    <w:rsid w:val="003B6264"/>
    <w:rsid w:val="003C2F03"/>
    <w:rsid w:val="003C51DE"/>
    <w:rsid w:val="003E19A1"/>
    <w:rsid w:val="003F2281"/>
    <w:rsid w:val="003F669E"/>
    <w:rsid w:val="0040113F"/>
    <w:rsid w:val="00401E57"/>
    <w:rsid w:val="0040387F"/>
    <w:rsid w:val="00404CD2"/>
    <w:rsid w:val="00405891"/>
    <w:rsid w:val="00410031"/>
    <w:rsid w:val="00410789"/>
    <w:rsid w:val="004121C5"/>
    <w:rsid w:val="00430020"/>
    <w:rsid w:val="0044029A"/>
    <w:rsid w:val="0045127C"/>
    <w:rsid w:val="00460315"/>
    <w:rsid w:val="004828E9"/>
    <w:rsid w:val="00485E39"/>
    <w:rsid w:val="00490263"/>
    <w:rsid w:val="00493CB1"/>
    <w:rsid w:val="00493E98"/>
    <w:rsid w:val="004940F4"/>
    <w:rsid w:val="004A220B"/>
    <w:rsid w:val="004A2F42"/>
    <w:rsid w:val="004A40D0"/>
    <w:rsid w:val="004A737E"/>
    <w:rsid w:val="004B402D"/>
    <w:rsid w:val="004B7CBA"/>
    <w:rsid w:val="004C4783"/>
    <w:rsid w:val="004D1293"/>
    <w:rsid w:val="004D1959"/>
    <w:rsid w:val="004D6A7B"/>
    <w:rsid w:val="004E3907"/>
    <w:rsid w:val="004F0A79"/>
    <w:rsid w:val="004F7B06"/>
    <w:rsid w:val="00502116"/>
    <w:rsid w:val="005152C4"/>
    <w:rsid w:val="00515A7E"/>
    <w:rsid w:val="005207A1"/>
    <w:rsid w:val="00532CC0"/>
    <w:rsid w:val="0053664A"/>
    <w:rsid w:val="005401ED"/>
    <w:rsid w:val="005405D5"/>
    <w:rsid w:val="00551450"/>
    <w:rsid w:val="00557F91"/>
    <w:rsid w:val="00571B7B"/>
    <w:rsid w:val="00576443"/>
    <w:rsid w:val="00585C9E"/>
    <w:rsid w:val="00590BD3"/>
    <w:rsid w:val="005A3F88"/>
    <w:rsid w:val="005A7FC0"/>
    <w:rsid w:val="005C3065"/>
    <w:rsid w:val="005D7ACE"/>
    <w:rsid w:val="005F0F30"/>
    <w:rsid w:val="005F1ED4"/>
    <w:rsid w:val="00604236"/>
    <w:rsid w:val="00613766"/>
    <w:rsid w:val="00625D91"/>
    <w:rsid w:val="00634C2D"/>
    <w:rsid w:val="0063706E"/>
    <w:rsid w:val="0064278E"/>
    <w:rsid w:val="00642EA1"/>
    <w:rsid w:val="00644375"/>
    <w:rsid w:val="006459B0"/>
    <w:rsid w:val="006469F0"/>
    <w:rsid w:val="0064701D"/>
    <w:rsid w:val="00672022"/>
    <w:rsid w:val="00676806"/>
    <w:rsid w:val="00690846"/>
    <w:rsid w:val="00695CFD"/>
    <w:rsid w:val="006A47E2"/>
    <w:rsid w:val="006B4A1B"/>
    <w:rsid w:val="006C4017"/>
    <w:rsid w:val="006F245E"/>
    <w:rsid w:val="00703E53"/>
    <w:rsid w:val="007200C0"/>
    <w:rsid w:val="00724320"/>
    <w:rsid w:val="00731F7E"/>
    <w:rsid w:val="007324F5"/>
    <w:rsid w:val="00737628"/>
    <w:rsid w:val="00742DC1"/>
    <w:rsid w:val="00747F8B"/>
    <w:rsid w:val="00750820"/>
    <w:rsid w:val="00756897"/>
    <w:rsid w:val="0075781F"/>
    <w:rsid w:val="00767BE9"/>
    <w:rsid w:val="00774C95"/>
    <w:rsid w:val="00780738"/>
    <w:rsid w:val="007830C8"/>
    <w:rsid w:val="00785487"/>
    <w:rsid w:val="00785D1F"/>
    <w:rsid w:val="00796939"/>
    <w:rsid w:val="007A3AF2"/>
    <w:rsid w:val="007A501E"/>
    <w:rsid w:val="007A5F4D"/>
    <w:rsid w:val="007B3D9A"/>
    <w:rsid w:val="007C750D"/>
    <w:rsid w:val="007F38A8"/>
    <w:rsid w:val="00805A9F"/>
    <w:rsid w:val="00811A6F"/>
    <w:rsid w:val="008160E1"/>
    <w:rsid w:val="00816680"/>
    <w:rsid w:val="0081777F"/>
    <w:rsid w:val="0083194C"/>
    <w:rsid w:val="00845586"/>
    <w:rsid w:val="0084597D"/>
    <w:rsid w:val="00846713"/>
    <w:rsid w:val="00850235"/>
    <w:rsid w:val="008570BB"/>
    <w:rsid w:val="008707E2"/>
    <w:rsid w:val="00881BD6"/>
    <w:rsid w:val="008A740A"/>
    <w:rsid w:val="008B5342"/>
    <w:rsid w:val="008D541C"/>
    <w:rsid w:val="008F3B6D"/>
    <w:rsid w:val="008F612A"/>
    <w:rsid w:val="008F659C"/>
    <w:rsid w:val="00901AC2"/>
    <w:rsid w:val="009170D5"/>
    <w:rsid w:val="009302DB"/>
    <w:rsid w:val="009311E7"/>
    <w:rsid w:val="009447B7"/>
    <w:rsid w:val="009518F9"/>
    <w:rsid w:val="00971738"/>
    <w:rsid w:val="00972395"/>
    <w:rsid w:val="009742E1"/>
    <w:rsid w:val="00982268"/>
    <w:rsid w:val="0098748C"/>
    <w:rsid w:val="00995397"/>
    <w:rsid w:val="00995670"/>
    <w:rsid w:val="009A186E"/>
    <w:rsid w:val="009A2589"/>
    <w:rsid w:val="009B4D6A"/>
    <w:rsid w:val="009B60D5"/>
    <w:rsid w:val="009C39AF"/>
    <w:rsid w:val="009C4485"/>
    <w:rsid w:val="009C4E36"/>
    <w:rsid w:val="009D35E9"/>
    <w:rsid w:val="009E035F"/>
    <w:rsid w:val="009E5DF0"/>
    <w:rsid w:val="009F299A"/>
    <w:rsid w:val="009F315E"/>
    <w:rsid w:val="00A0043A"/>
    <w:rsid w:val="00A03C34"/>
    <w:rsid w:val="00A04F83"/>
    <w:rsid w:val="00A1344C"/>
    <w:rsid w:val="00A25BD2"/>
    <w:rsid w:val="00A34767"/>
    <w:rsid w:val="00A3CA62"/>
    <w:rsid w:val="00A44510"/>
    <w:rsid w:val="00A450FD"/>
    <w:rsid w:val="00A60967"/>
    <w:rsid w:val="00A60EA3"/>
    <w:rsid w:val="00A62AFA"/>
    <w:rsid w:val="00A76491"/>
    <w:rsid w:val="00A83E76"/>
    <w:rsid w:val="00A8573B"/>
    <w:rsid w:val="00A9709E"/>
    <w:rsid w:val="00AA04CA"/>
    <w:rsid w:val="00AA4617"/>
    <w:rsid w:val="00AA6D0F"/>
    <w:rsid w:val="00AC3DDA"/>
    <w:rsid w:val="00AC4B34"/>
    <w:rsid w:val="00AC5695"/>
    <w:rsid w:val="00AE0255"/>
    <w:rsid w:val="00AE0273"/>
    <w:rsid w:val="00AF7936"/>
    <w:rsid w:val="00B02597"/>
    <w:rsid w:val="00B029D1"/>
    <w:rsid w:val="00B04435"/>
    <w:rsid w:val="00B06FCB"/>
    <w:rsid w:val="00B10A1E"/>
    <w:rsid w:val="00B1463A"/>
    <w:rsid w:val="00B15369"/>
    <w:rsid w:val="00B15FDE"/>
    <w:rsid w:val="00B20D8D"/>
    <w:rsid w:val="00B26EDB"/>
    <w:rsid w:val="00B408CC"/>
    <w:rsid w:val="00B524D8"/>
    <w:rsid w:val="00B5779D"/>
    <w:rsid w:val="00B67A97"/>
    <w:rsid w:val="00B779EE"/>
    <w:rsid w:val="00B80591"/>
    <w:rsid w:val="00B85CF5"/>
    <w:rsid w:val="00B85F0E"/>
    <w:rsid w:val="00B87B30"/>
    <w:rsid w:val="00B97629"/>
    <w:rsid w:val="00BA0D1B"/>
    <w:rsid w:val="00BA1820"/>
    <w:rsid w:val="00BB352B"/>
    <w:rsid w:val="00BB5529"/>
    <w:rsid w:val="00BC2BB3"/>
    <w:rsid w:val="00BC45F0"/>
    <w:rsid w:val="00BD1129"/>
    <w:rsid w:val="00BD1CE9"/>
    <w:rsid w:val="00BD5960"/>
    <w:rsid w:val="00BE0883"/>
    <w:rsid w:val="00BE1C4E"/>
    <w:rsid w:val="00C038ED"/>
    <w:rsid w:val="00C0740A"/>
    <w:rsid w:val="00C12041"/>
    <w:rsid w:val="00C1287B"/>
    <w:rsid w:val="00C135C3"/>
    <w:rsid w:val="00C14BD2"/>
    <w:rsid w:val="00C15F52"/>
    <w:rsid w:val="00C16FC3"/>
    <w:rsid w:val="00C26BEF"/>
    <w:rsid w:val="00C35DDB"/>
    <w:rsid w:val="00C63EB7"/>
    <w:rsid w:val="00C66DC4"/>
    <w:rsid w:val="00C70EFB"/>
    <w:rsid w:val="00C81999"/>
    <w:rsid w:val="00C91D75"/>
    <w:rsid w:val="00C9496B"/>
    <w:rsid w:val="00C94F1B"/>
    <w:rsid w:val="00C95D9A"/>
    <w:rsid w:val="00CC206B"/>
    <w:rsid w:val="00CC318B"/>
    <w:rsid w:val="00CE1651"/>
    <w:rsid w:val="00CF3DC9"/>
    <w:rsid w:val="00CF4517"/>
    <w:rsid w:val="00D005B7"/>
    <w:rsid w:val="00D01AA7"/>
    <w:rsid w:val="00D021E0"/>
    <w:rsid w:val="00D02525"/>
    <w:rsid w:val="00D041D4"/>
    <w:rsid w:val="00D043D3"/>
    <w:rsid w:val="00D07178"/>
    <w:rsid w:val="00D11355"/>
    <w:rsid w:val="00D22725"/>
    <w:rsid w:val="00D23C1E"/>
    <w:rsid w:val="00D26DC6"/>
    <w:rsid w:val="00D35212"/>
    <w:rsid w:val="00D52C64"/>
    <w:rsid w:val="00D55B0C"/>
    <w:rsid w:val="00D612AF"/>
    <w:rsid w:val="00D672B7"/>
    <w:rsid w:val="00D774F3"/>
    <w:rsid w:val="00D820B7"/>
    <w:rsid w:val="00D850B1"/>
    <w:rsid w:val="00D850BD"/>
    <w:rsid w:val="00D8593E"/>
    <w:rsid w:val="00D879E8"/>
    <w:rsid w:val="00D92AD5"/>
    <w:rsid w:val="00D96066"/>
    <w:rsid w:val="00DB1544"/>
    <w:rsid w:val="00DB7B56"/>
    <w:rsid w:val="00DC2B17"/>
    <w:rsid w:val="00DD0356"/>
    <w:rsid w:val="00DD213E"/>
    <w:rsid w:val="00DD2798"/>
    <w:rsid w:val="00DD3634"/>
    <w:rsid w:val="00DD43B1"/>
    <w:rsid w:val="00DE4776"/>
    <w:rsid w:val="00DF1E86"/>
    <w:rsid w:val="00DF3C25"/>
    <w:rsid w:val="00DF581C"/>
    <w:rsid w:val="00E01CD2"/>
    <w:rsid w:val="00E07BA5"/>
    <w:rsid w:val="00E1224F"/>
    <w:rsid w:val="00E12294"/>
    <w:rsid w:val="00E143F7"/>
    <w:rsid w:val="00E15D7E"/>
    <w:rsid w:val="00E176EF"/>
    <w:rsid w:val="00E26F88"/>
    <w:rsid w:val="00E30EC3"/>
    <w:rsid w:val="00E32E21"/>
    <w:rsid w:val="00E33E0F"/>
    <w:rsid w:val="00E345AA"/>
    <w:rsid w:val="00E34F78"/>
    <w:rsid w:val="00E467F1"/>
    <w:rsid w:val="00E46A0A"/>
    <w:rsid w:val="00E50DC3"/>
    <w:rsid w:val="00E546A5"/>
    <w:rsid w:val="00E62BF9"/>
    <w:rsid w:val="00E74E54"/>
    <w:rsid w:val="00E85CED"/>
    <w:rsid w:val="00E91129"/>
    <w:rsid w:val="00E91D16"/>
    <w:rsid w:val="00E96A39"/>
    <w:rsid w:val="00EA0217"/>
    <w:rsid w:val="00EA15BD"/>
    <w:rsid w:val="00EA448A"/>
    <w:rsid w:val="00EA7E01"/>
    <w:rsid w:val="00EB21FE"/>
    <w:rsid w:val="00EC747E"/>
    <w:rsid w:val="00ED3EF2"/>
    <w:rsid w:val="00ED69FE"/>
    <w:rsid w:val="00EE14A4"/>
    <w:rsid w:val="00F00A13"/>
    <w:rsid w:val="00F26897"/>
    <w:rsid w:val="00F31B7B"/>
    <w:rsid w:val="00F35F89"/>
    <w:rsid w:val="00F378EC"/>
    <w:rsid w:val="00F415F7"/>
    <w:rsid w:val="00F521A4"/>
    <w:rsid w:val="00F52580"/>
    <w:rsid w:val="00F603BA"/>
    <w:rsid w:val="00F63CA7"/>
    <w:rsid w:val="00F71979"/>
    <w:rsid w:val="00F732DD"/>
    <w:rsid w:val="00F75C48"/>
    <w:rsid w:val="00F779C4"/>
    <w:rsid w:val="00F91D81"/>
    <w:rsid w:val="00F956E6"/>
    <w:rsid w:val="00FA0B30"/>
    <w:rsid w:val="00FA2D08"/>
    <w:rsid w:val="00FB05C0"/>
    <w:rsid w:val="00FB1C9C"/>
    <w:rsid w:val="00FB5DA6"/>
    <w:rsid w:val="00FB6DE0"/>
    <w:rsid w:val="00FC2F4B"/>
    <w:rsid w:val="00FC76E0"/>
    <w:rsid w:val="00FD0671"/>
    <w:rsid w:val="00FD6A71"/>
    <w:rsid w:val="00FD7AC5"/>
    <w:rsid w:val="00FF78B5"/>
    <w:rsid w:val="0122438F"/>
    <w:rsid w:val="0136C1DA"/>
    <w:rsid w:val="01537A39"/>
    <w:rsid w:val="016A122E"/>
    <w:rsid w:val="01ABBFC1"/>
    <w:rsid w:val="022A13AA"/>
    <w:rsid w:val="0267D383"/>
    <w:rsid w:val="026F2BC0"/>
    <w:rsid w:val="031E7DDD"/>
    <w:rsid w:val="04FD549E"/>
    <w:rsid w:val="051049EE"/>
    <w:rsid w:val="051187FC"/>
    <w:rsid w:val="051FC2D5"/>
    <w:rsid w:val="064BBAC5"/>
    <w:rsid w:val="066093CD"/>
    <w:rsid w:val="066C7C28"/>
    <w:rsid w:val="06BC8072"/>
    <w:rsid w:val="06F9FC58"/>
    <w:rsid w:val="080AACB9"/>
    <w:rsid w:val="0A43F020"/>
    <w:rsid w:val="0A5A59AE"/>
    <w:rsid w:val="0B40EE47"/>
    <w:rsid w:val="0B677AA6"/>
    <w:rsid w:val="0BB2F80D"/>
    <w:rsid w:val="0C393D2B"/>
    <w:rsid w:val="0D652D3B"/>
    <w:rsid w:val="0DBD72B8"/>
    <w:rsid w:val="12F3E5D1"/>
    <w:rsid w:val="1317372D"/>
    <w:rsid w:val="13ABC26E"/>
    <w:rsid w:val="15E3B97E"/>
    <w:rsid w:val="16595627"/>
    <w:rsid w:val="1727E2C0"/>
    <w:rsid w:val="187E15FA"/>
    <w:rsid w:val="189451BC"/>
    <w:rsid w:val="190485A9"/>
    <w:rsid w:val="1A956C2C"/>
    <w:rsid w:val="1AB21211"/>
    <w:rsid w:val="1AFD4748"/>
    <w:rsid w:val="1C819302"/>
    <w:rsid w:val="1E1AD17A"/>
    <w:rsid w:val="1E926AE5"/>
    <w:rsid w:val="1E93D310"/>
    <w:rsid w:val="1EE6A962"/>
    <w:rsid w:val="1F65D8DB"/>
    <w:rsid w:val="1FB41A21"/>
    <w:rsid w:val="2015A7E4"/>
    <w:rsid w:val="20461603"/>
    <w:rsid w:val="208EA5C3"/>
    <w:rsid w:val="209D102B"/>
    <w:rsid w:val="21729987"/>
    <w:rsid w:val="23AC19F9"/>
    <w:rsid w:val="23B41B4D"/>
    <w:rsid w:val="24D0CC1F"/>
    <w:rsid w:val="24F54E9C"/>
    <w:rsid w:val="28ABE4BB"/>
    <w:rsid w:val="2929B5D3"/>
    <w:rsid w:val="293982F8"/>
    <w:rsid w:val="29DF27D0"/>
    <w:rsid w:val="2A094504"/>
    <w:rsid w:val="2A0E515F"/>
    <w:rsid w:val="2A586A43"/>
    <w:rsid w:val="2A849FAC"/>
    <w:rsid w:val="2ADD20E6"/>
    <w:rsid w:val="2B27C392"/>
    <w:rsid w:val="2BEFB784"/>
    <w:rsid w:val="2C2FE4D1"/>
    <w:rsid w:val="2C6FFCFA"/>
    <w:rsid w:val="2C8E2050"/>
    <w:rsid w:val="2C9718E8"/>
    <w:rsid w:val="2CEF7EBF"/>
    <w:rsid w:val="2D3A4EC8"/>
    <w:rsid w:val="2E250FF6"/>
    <w:rsid w:val="2E6A226C"/>
    <w:rsid w:val="2F08AD47"/>
    <w:rsid w:val="2F21780F"/>
    <w:rsid w:val="2FEEA3BB"/>
    <w:rsid w:val="304A53CC"/>
    <w:rsid w:val="313B43B0"/>
    <w:rsid w:val="320F07C5"/>
    <w:rsid w:val="33106996"/>
    <w:rsid w:val="33206E15"/>
    <w:rsid w:val="3327CB9E"/>
    <w:rsid w:val="33F4F976"/>
    <w:rsid w:val="34524018"/>
    <w:rsid w:val="35EC97E6"/>
    <w:rsid w:val="3738DB98"/>
    <w:rsid w:val="377D6C47"/>
    <w:rsid w:val="3792E9CC"/>
    <w:rsid w:val="39463EA5"/>
    <w:rsid w:val="395FD085"/>
    <w:rsid w:val="3A5601D6"/>
    <w:rsid w:val="3AD355D6"/>
    <w:rsid w:val="3BD4B6A0"/>
    <w:rsid w:val="3C9B32A8"/>
    <w:rsid w:val="3DF023AC"/>
    <w:rsid w:val="3EAEF011"/>
    <w:rsid w:val="3F1993B8"/>
    <w:rsid w:val="408784DC"/>
    <w:rsid w:val="40A59689"/>
    <w:rsid w:val="4115D32D"/>
    <w:rsid w:val="41C2AC47"/>
    <w:rsid w:val="424C3C13"/>
    <w:rsid w:val="42AF3CB7"/>
    <w:rsid w:val="432EB855"/>
    <w:rsid w:val="4335F629"/>
    <w:rsid w:val="437666D3"/>
    <w:rsid w:val="43F5A655"/>
    <w:rsid w:val="44049712"/>
    <w:rsid w:val="44E2B530"/>
    <w:rsid w:val="4556D315"/>
    <w:rsid w:val="45B0BF62"/>
    <w:rsid w:val="48F5CCA4"/>
    <w:rsid w:val="4945EC6C"/>
    <w:rsid w:val="4B1F019A"/>
    <w:rsid w:val="4B4FFE48"/>
    <w:rsid w:val="4BB82365"/>
    <w:rsid w:val="4BB8CF7B"/>
    <w:rsid w:val="4C2BFFF7"/>
    <w:rsid w:val="4CF79AE5"/>
    <w:rsid w:val="4D3D7414"/>
    <w:rsid w:val="4DD67B2A"/>
    <w:rsid w:val="4F71D9DE"/>
    <w:rsid w:val="4FA44D36"/>
    <w:rsid w:val="50B860BF"/>
    <w:rsid w:val="51E67AD2"/>
    <w:rsid w:val="526A1715"/>
    <w:rsid w:val="52C293FC"/>
    <w:rsid w:val="52F8C22D"/>
    <w:rsid w:val="532DA9D8"/>
    <w:rsid w:val="5349DAB3"/>
    <w:rsid w:val="534F88B8"/>
    <w:rsid w:val="559550C7"/>
    <w:rsid w:val="55E8E66E"/>
    <w:rsid w:val="563F657B"/>
    <w:rsid w:val="568B359A"/>
    <w:rsid w:val="56D6AE5D"/>
    <w:rsid w:val="573B1CEA"/>
    <w:rsid w:val="57BBA38F"/>
    <w:rsid w:val="58019B2D"/>
    <w:rsid w:val="58311690"/>
    <w:rsid w:val="58C7F076"/>
    <w:rsid w:val="58F77504"/>
    <w:rsid w:val="593CA1AA"/>
    <w:rsid w:val="59D903EA"/>
    <w:rsid w:val="5A527365"/>
    <w:rsid w:val="5AB6A0A4"/>
    <w:rsid w:val="5B4FB4CD"/>
    <w:rsid w:val="5CC0A170"/>
    <w:rsid w:val="5CEB5D1C"/>
    <w:rsid w:val="5D4985A5"/>
    <w:rsid w:val="5ECDFD23"/>
    <w:rsid w:val="5EFC3282"/>
    <w:rsid w:val="5F08FF2C"/>
    <w:rsid w:val="5F4C28CD"/>
    <w:rsid w:val="608B56C8"/>
    <w:rsid w:val="6104E7BA"/>
    <w:rsid w:val="614E8C99"/>
    <w:rsid w:val="616DAE1F"/>
    <w:rsid w:val="61987EA3"/>
    <w:rsid w:val="61C81248"/>
    <w:rsid w:val="61F6BF3A"/>
    <w:rsid w:val="64D0396E"/>
    <w:rsid w:val="65AA4B74"/>
    <w:rsid w:val="65DF82F0"/>
    <w:rsid w:val="65F74BCA"/>
    <w:rsid w:val="6696EA3E"/>
    <w:rsid w:val="66D3EF6A"/>
    <w:rsid w:val="67E5CB7A"/>
    <w:rsid w:val="68238906"/>
    <w:rsid w:val="682C5856"/>
    <w:rsid w:val="68A84E02"/>
    <w:rsid w:val="69059CEF"/>
    <w:rsid w:val="698F8A5A"/>
    <w:rsid w:val="6BFAB599"/>
    <w:rsid w:val="6CA4B9E9"/>
    <w:rsid w:val="6DE47846"/>
    <w:rsid w:val="6EC5AB60"/>
    <w:rsid w:val="6F8149E6"/>
    <w:rsid w:val="7036CBE2"/>
    <w:rsid w:val="703A4651"/>
    <w:rsid w:val="703DD827"/>
    <w:rsid w:val="70B3FE7C"/>
    <w:rsid w:val="71E169B1"/>
    <w:rsid w:val="72AB0934"/>
    <w:rsid w:val="735C5825"/>
    <w:rsid w:val="73BAEAC0"/>
    <w:rsid w:val="73FA5386"/>
    <w:rsid w:val="7554EC3B"/>
    <w:rsid w:val="75E2AED7"/>
    <w:rsid w:val="767129E6"/>
    <w:rsid w:val="76A48CB5"/>
    <w:rsid w:val="76BC6CEB"/>
    <w:rsid w:val="774988AA"/>
    <w:rsid w:val="776C3470"/>
    <w:rsid w:val="77C5E9C6"/>
    <w:rsid w:val="79007DEB"/>
    <w:rsid w:val="7AFA1A57"/>
    <w:rsid w:val="7BC01D84"/>
    <w:rsid w:val="7BC32824"/>
    <w:rsid w:val="7CDC7273"/>
    <w:rsid w:val="7DDE22E1"/>
    <w:rsid w:val="7DE2E50E"/>
    <w:rsid w:val="7ECFC2A2"/>
    <w:rsid w:val="7F43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B9CC574"/>
  <w15:chartTrackingRefBased/>
  <w15:docId w15:val="{7064E1FF-7D24-4823-A9A7-361FDB68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86E"/>
  </w:style>
  <w:style w:type="paragraph" w:styleId="Footer">
    <w:name w:val="footer"/>
    <w:basedOn w:val="Normal"/>
    <w:link w:val="FooterChar"/>
    <w:uiPriority w:val="99"/>
    <w:unhideWhenUsed/>
    <w:rsid w:val="009A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6E"/>
  </w:style>
  <w:style w:type="table" w:styleId="TableGrid">
    <w:name w:val="Table Grid"/>
    <w:basedOn w:val="TableNormal"/>
    <w:uiPriority w:val="39"/>
    <w:rsid w:val="009A1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86E"/>
    <w:pPr>
      <w:spacing w:after="0" w:line="276" w:lineRule="auto"/>
      <w:ind w:left="1312" w:hanging="361"/>
      <w:jc w:val="both"/>
    </w:pPr>
    <w:rPr>
      <w:rFonts w:ascii="Arial" w:hAnsi="Arial" w:cs="Arial"/>
      <w:sz w:val="21"/>
    </w:rPr>
  </w:style>
  <w:style w:type="paragraph" w:styleId="NoSpacing">
    <w:name w:val="No Spacing"/>
    <w:link w:val="NoSpacingChar"/>
    <w:uiPriority w:val="1"/>
    <w:qFormat/>
    <w:rsid w:val="00A25BD2"/>
    <w:pPr>
      <w:spacing w:after="0" w:line="240" w:lineRule="auto"/>
    </w:pPr>
    <w:rPr>
      <w:rFonts w:eastAsiaTheme="minorEastAsia"/>
    </w:rPr>
  </w:style>
  <w:style w:type="character" w:customStyle="1" w:styleId="NoSpacingChar">
    <w:name w:val="No Spacing Char"/>
    <w:basedOn w:val="DefaultParagraphFont"/>
    <w:link w:val="NoSpacing"/>
    <w:uiPriority w:val="1"/>
    <w:rsid w:val="00A25BD2"/>
    <w:rPr>
      <w:rFonts w:eastAsiaTheme="minorEastAsia"/>
    </w:rPr>
  </w:style>
  <w:style w:type="character" w:styleId="Hyperlink">
    <w:name w:val="Hyperlink"/>
    <w:basedOn w:val="DefaultParagraphFont"/>
    <w:uiPriority w:val="99"/>
    <w:unhideWhenUsed/>
    <w:rsid w:val="001548EF"/>
    <w:rPr>
      <w:color w:val="E30918"/>
      <w:u w:val="single"/>
    </w:rPr>
  </w:style>
  <w:style w:type="numbering" w:customStyle="1" w:styleId="MainNumbering">
    <w:name w:val="Main Numbering"/>
    <w:basedOn w:val="NoList"/>
    <w:rsid w:val="001548EF"/>
    <w:pPr>
      <w:numPr>
        <w:numId w:val="6"/>
      </w:numPr>
    </w:pPr>
  </w:style>
  <w:style w:type="paragraph" w:customStyle="1" w:styleId="Level1">
    <w:name w:val="Level 1"/>
    <w:basedOn w:val="Normal"/>
    <w:uiPriority w:val="1"/>
    <w:rsid w:val="001548EF"/>
    <w:pPr>
      <w:numPr>
        <w:numId w:val="6"/>
      </w:numPr>
      <w:spacing w:after="240" w:line="276" w:lineRule="auto"/>
      <w:jc w:val="both"/>
    </w:pPr>
    <w:rPr>
      <w:rFonts w:ascii="Arial" w:hAnsi="Arial" w:cs="Arial"/>
      <w:sz w:val="21"/>
    </w:rPr>
  </w:style>
  <w:style w:type="paragraph" w:customStyle="1" w:styleId="Level2">
    <w:name w:val="Level 2"/>
    <w:basedOn w:val="Normal"/>
    <w:uiPriority w:val="1"/>
    <w:rsid w:val="001548EF"/>
    <w:pPr>
      <w:numPr>
        <w:ilvl w:val="1"/>
        <w:numId w:val="6"/>
      </w:numPr>
      <w:spacing w:after="240" w:line="276" w:lineRule="auto"/>
      <w:jc w:val="both"/>
    </w:pPr>
    <w:rPr>
      <w:rFonts w:ascii="Arial" w:hAnsi="Arial" w:cs="Arial"/>
      <w:sz w:val="21"/>
    </w:rPr>
  </w:style>
  <w:style w:type="paragraph" w:customStyle="1" w:styleId="Level3">
    <w:name w:val="Level 3"/>
    <w:basedOn w:val="Normal"/>
    <w:uiPriority w:val="1"/>
    <w:rsid w:val="001548EF"/>
    <w:pPr>
      <w:numPr>
        <w:ilvl w:val="2"/>
        <w:numId w:val="6"/>
      </w:numPr>
      <w:spacing w:after="240" w:line="276" w:lineRule="auto"/>
      <w:jc w:val="both"/>
    </w:pPr>
    <w:rPr>
      <w:rFonts w:ascii="Arial" w:hAnsi="Arial" w:cs="Arial"/>
      <w:sz w:val="21"/>
    </w:rPr>
  </w:style>
  <w:style w:type="paragraph" w:customStyle="1" w:styleId="Level4">
    <w:name w:val="Level 4"/>
    <w:basedOn w:val="Normal"/>
    <w:uiPriority w:val="1"/>
    <w:rsid w:val="001548EF"/>
    <w:pPr>
      <w:numPr>
        <w:ilvl w:val="3"/>
        <w:numId w:val="6"/>
      </w:numPr>
      <w:spacing w:after="240" w:line="276" w:lineRule="auto"/>
      <w:jc w:val="both"/>
    </w:pPr>
    <w:rPr>
      <w:rFonts w:ascii="Arial" w:hAnsi="Arial" w:cs="Arial"/>
      <w:sz w:val="21"/>
    </w:rPr>
  </w:style>
  <w:style w:type="paragraph" w:customStyle="1" w:styleId="Level5">
    <w:name w:val="Level 5"/>
    <w:basedOn w:val="Normal"/>
    <w:uiPriority w:val="1"/>
    <w:rsid w:val="001548EF"/>
    <w:pPr>
      <w:numPr>
        <w:ilvl w:val="4"/>
        <w:numId w:val="6"/>
      </w:numPr>
      <w:spacing w:after="240" w:line="276" w:lineRule="auto"/>
      <w:jc w:val="both"/>
    </w:pPr>
    <w:rPr>
      <w:rFonts w:ascii="Arial" w:hAnsi="Arial" w:cs="Arial"/>
      <w:sz w:val="21"/>
    </w:rPr>
  </w:style>
  <w:style w:type="paragraph" w:customStyle="1" w:styleId="Level6">
    <w:name w:val="Level 6"/>
    <w:basedOn w:val="Normal"/>
    <w:uiPriority w:val="1"/>
    <w:rsid w:val="001548EF"/>
    <w:pPr>
      <w:numPr>
        <w:ilvl w:val="5"/>
        <w:numId w:val="6"/>
      </w:numPr>
      <w:spacing w:after="240" w:line="276" w:lineRule="auto"/>
      <w:jc w:val="both"/>
    </w:pPr>
    <w:rPr>
      <w:rFonts w:ascii="Arial" w:hAnsi="Arial" w:cs="Arial"/>
      <w:sz w:val="21"/>
    </w:rPr>
  </w:style>
  <w:style w:type="paragraph" w:customStyle="1" w:styleId="Level7">
    <w:name w:val="Level 7"/>
    <w:basedOn w:val="Normal"/>
    <w:uiPriority w:val="1"/>
    <w:rsid w:val="001548EF"/>
    <w:pPr>
      <w:numPr>
        <w:ilvl w:val="6"/>
        <w:numId w:val="6"/>
      </w:numPr>
      <w:spacing w:after="240" w:line="276" w:lineRule="auto"/>
      <w:jc w:val="both"/>
    </w:pPr>
    <w:rPr>
      <w:rFonts w:ascii="Arial" w:hAnsi="Arial" w:cs="Arial"/>
      <w:sz w:val="21"/>
    </w:rPr>
  </w:style>
  <w:style w:type="character" w:customStyle="1" w:styleId="Level1asheadingtext">
    <w:name w:val="Level 1 as heading (text)"/>
    <w:basedOn w:val="DefaultParagraphFont"/>
    <w:uiPriority w:val="99"/>
    <w:rsid w:val="001548EF"/>
    <w:rPr>
      <w:b/>
    </w:rPr>
  </w:style>
  <w:style w:type="paragraph" w:styleId="IntenseQuote">
    <w:name w:val="Intense Quote"/>
    <w:basedOn w:val="Normal"/>
    <w:next w:val="Normal"/>
    <w:link w:val="IntenseQuoteChar"/>
    <w:uiPriority w:val="30"/>
    <w:qFormat/>
    <w:rsid w:val="00AE0273"/>
    <w:pPr>
      <w:pBdr>
        <w:top w:val="single" w:sz="4" w:space="10" w:color="002060" w:themeColor="accent1"/>
        <w:bottom w:val="single" w:sz="4" w:space="10" w:color="002060" w:themeColor="accent1"/>
      </w:pBdr>
      <w:spacing w:before="360" w:after="360"/>
      <w:ind w:left="864" w:right="864"/>
      <w:jc w:val="center"/>
    </w:pPr>
    <w:rPr>
      <w:i/>
      <w:iCs/>
      <w:color w:val="002060" w:themeColor="accent1"/>
    </w:rPr>
  </w:style>
  <w:style w:type="character" w:customStyle="1" w:styleId="IntenseQuoteChar">
    <w:name w:val="Intense Quote Char"/>
    <w:basedOn w:val="DefaultParagraphFont"/>
    <w:link w:val="IntenseQuote"/>
    <w:uiPriority w:val="30"/>
    <w:rsid w:val="00AE0273"/>
    <w:rPr>
      <w:i/>
      <w:iCs/>
      <w:color w:val="002060" w:themeColor="accent1"/>
    </w:rPr>
  </w:style>
  <w:style w:type="numbering" w:customStyle="1" w:styleId="MainNumbering1">
    <w:name w:val="Main Numbering1"/>
    <w:basedOn w:val="NoList"/>
    <w:rsid w:val="00CE1651"/>
  </w:style>
  <w:style w:type="paragraph" w:styleId="FootnoteText">
    <w:name w:val="footnote text"/>
    <w:basedOn w:val="Normal"/>
    <w:link w:val="FootnoteTextChar"/>
    <w:semiHidden/>
    <w:rsid w:val="00BB352B"/>
    <w:pPr>
      <w:widowControl w:val="0"/>
      <w:spacing w:after="0" w:line="240" w:lineRule="auto"/>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BB352B"/>
    <w:rPr>
      <w:rFonts w:ascii="Times New Roman" w:eastAsia="Times New Roman" w:hAnsi="Times New Roman" w:cs="Times New Roman"/>
      <w:sz w:val="24"/>
      <w:szCs w:val="20"/>
    </w:rPr>
  </w:style>
  <w:style w:type="character" w:styleId="FootnoteReference">
    <w:name w:val="footnote reference"/>
    <w:uiPriority w:val="99"/>
    <w:semiHidden/>
    <w:rsid w:val="00BB352B"/>
    <w:rPr>
      <w:vertAlign w:val="superscript"/>
    </w:rPr>
  </w:style>
  <w:style w:type="table" w:customStyle="1" w:styleId="TableGrid1">
    <w:name w:val="Table Grid1"/>
    <w:basedOn w:val="TableNormal"/>
    <w:next w:val="TableGrid"/>
    <w:uiPriority w:val="59"/>
    <w:rsid w:val="00D0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7D65"/>
    <w:rPr>
      <w:color w:val="605E5C"/>
      <w:shd w:val="clear" w:color="auto" w:fill="E1DFDD"/>
    </w:rPr>
  </w:style>
  <w:style w:type="character" w:styleId="FollowedHyperlink">
    <w:name w:val="FollowedHyperlink"/>
    <w:basedOn w:val="DefaultParagraphFont"/>
    <w:uiPriority w:val="99"/>
    <w:semiHidden/>
    <w:unhideWhenUsed/>
    <w:rsid w:val="00695CFD"/>
    <w:rPr>
      <w:color w:val="969696" w:themeColor="followedHyperlink"/>
      <w:u w:val="single"/>
    </w:rPr>
  </w:style>
  <w:style w:type="paragraph" w:styleId="BodyText">
    <w:name w:val="Body Text"/>
    <w:basedOn w:val="Normal"/>
    <w:link w:val="BodyTextChar"/>
    <w:uiPriority w:val="1"/>
    <w:qFormat/>
    <w:rsid w:val="00EC747E"/>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C747E"/>
    <w:rPr>
      <w:rFonts w:ascii="Arial" w:eastAsia="Arial" w:hAnsi="Arial" w:cs="Arial"/>
      <w:sz w:val="24"/>
      <w:szCs w:val="24"/>
      <w:lang w:val="en-US"/>
    </w:rPr>
  </w:style>
  <w:style w:type="character" w:styleId="CommentReference">
    <w:name w:val="annotation reference"/>
    <w:basedOn w:val="DefaultParagraphFont"/>
    <w:uiPriority w:val="99"/>
    <w:semiHidden/>
    <w:unhideWhenUsed/>
    <w:rsid w:val="001C2C4F"/>
    <w:rPr>
      <w:sz w:val="16"/>
      <w:szCs w:val="16"/>
    </w:rPr>
  </w:style>
  <w:style w:type="paragraph" w:styleId="CommentText">
    <w:name w:val="annotation text"/>
    <w:basedOn w:val="Normal"/>
    <w:link w:val="CommentTextChar"/>
    <w:uiPriority w:val="99"/>
    <w:unhideWhenUsed/>
    <w:rsid w:val="001C2C4F"/>
    <w:pPr>
      <w:spacing w:line="240" w:lineRule="auto"/>
    </w:pPr>
    <w:rPr>
      <w:sz w:val="20"/>
      <w:szCs w:val="20"/>
    </w:rPr>
  </w:style>
  <w:style w:type="character" w:customStyle="1" w:styleId="CommentTextChar">
    <w:name w:val="Comment Text Char"/>
    <w:basedOn w:val="DefaultParagraphFont"/>
    <w:link w:val="CommentText"/>
    <w:uiPriority w:val="99"/>
    <w:rsid w:val="001C2C4F"/>
    <w:rPr>
      <w:sz w:val="20"/>
      <w:szCs w:val="20"/>
    </w:rPr>
  </w:style>
  <w:style w:type="paragraph" w:styleId="CommentSubject">
    <w:name w:val="annotation subject"/>
    <w:basedOn w:val="CommentText"/>
    <w:next w:val="CommentText"/>
    <w:link w:val="CommentSubjectChar"/>
    <w:uiPriority w:val="99"/>
    <w:semiHidden/>
    <w:unhideWhenUsed/>
    <w:rsid w:val="001C2C4F"/>
    <w:rPr>
      <w:b/>
      <w:bCs/>
    </w:rPr>
  </w:style>
  <w:style w:type="character" w:customStyle="1" w:styleId="CommentSubjectChar">
    <w:name w:val="Comment Subject Char"/>
    <w:basedOn w:val="CommentTextChar"/>
    <w:link w:val="CommentSubject"/>
    <w:uiPriority w:val="99"/>
    <w:semiHidden/>
    <w:rsid w:val="001C2C4F"/>
    <w:rPr>
      <w:b/>
      <w:bCs/>
      <w:sz w:val="20"/>
      <w:szCs w:val="20"/>
    </w:rPr>
  </w:style>
  <w:style w:type="paragraph" w:styleId="Revision">
    <w:name w:val="Revision"/>
    <w:hidden/>
    <w:uiPriority w:val="99"/>
    <w:semiHidden/>
    <w:rsid w:val="00AF7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0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27/cont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1977/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pga/1977/43"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00000"/>
      </a:dk1>
      <a:lt1>
        <a:srgbClr val="FFFFFF"/>
      </a:lt1>
      <a:dk2>
        <a:srgbClr val="22205F"/>
      </a:dk2>
      <a:lt2>
        <a:srgbClr val="DC9E1F"/>
      </a:lt2>
      <a:accent1>
        <a:srgbClr val="002060"/>
      </a:accent1>
      <a:accent2>
        <a:srgbClr val="FEDE00"/>
      </a:accent2>
      <a:accent3>
        <a:srgbClr val="002060"/>
      </a:accent3>
      <a:accent4>
        <a:srgbClr val="002D89"/>
      </a:accent4>
      <a:accent5>
        <a:srgbClr val="CA992C"/>
      </a:accent5>
      <a:accent6>
        <a:srgbClr val="9D936F"/>
      </a:accent6>
      <a:hlink>
        <a:srgbClr val="646464"/>
      </a:hlink>
      <a:folHlink>
        <a:srgbClr val="9696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87B-31CF-49AC-B4A8-61C696F703EF}">
  <ds:schemaRefs>
    <ds:schemaRef ds:uri="http://schemas.openxmlformats.org/officeDocument/2006/bibliography"/>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3073</Words>
  <Characters>17519</Characters>
  <Application>Microsoft Office Word</Application>
  <DocSecurity>0</DocSecurity>
  <Lines>145</Lines>
  <Paragraphs>41</Paragraphs>
  <ScaleCrop>false</ScaleCrop>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 King</dc:creator>
  <cp:keywords/>
  <dc:description/>
  <cp:lastModifiedBy>Tom Branch</cp:lastModifiedBy>
  <cp:revision>2</cp:revision>
  <cp:lastPrinted>2024-10-07T12:54:00Z</cp:lastPrinted>
  <dcterms:created xsi:type="dcterms:W3CDTF">2025-02-21T13:34:00Z</dcterms:created>
  <dcterms:modified xsi:type="dcterms:W3CDTF">2025-02-21T13:34:00Z</dcterms:modified>
</cp:coreProperties>
</file>