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7EF61736" w14:textId="57F29DEF" w:rsidR="002E0CE6" w:rsidRPr="002E0CE6" w:rsidRDefault="00FA2552" w:rsidP="00BD25F6">
            <w:pPr>
              <w:jc w:val="center"/>
              <w:rPr>
                <w:rFonts w:ascii="Arial" w:hAnsi="Arial" w:cs="Arial"/>
                <w:b/>
                <w:sz w:val="24"/>
                <w:szCs w:val="24"/>
              </w:rPr>
            </w:pPr>
            <w:bookmarkStart w:id="1" w:name="_Hlk164172887"/>
            <w:r>
              <w:rPr>
                <w:rFonts w:ascii="Arial" w:hAnsi="Arial" w:cs="Arial"/>
                <w:b/>
                <w:sz w:val="24"/>
                <w:szCs w:val="24"/>
              </w:rPr>
              <w:t>Mutual Exchange Policy</w:t>
            </w: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F663D2" w14:paraId="4F83E7FF" w14:textId="77777777" w:rsidTr="00BD25F6">
        <w:tc>
          <w:tcPr>
            <w:tcW w:w="9295" w:type="dxa"/>
          </w:tcPr>
          <w:p w14:paraId="4540AFBE" w14:textId="77777777" w:rsidR="002E0CE6" w:rsidRPr="00F663D2" w:rsidRDefault="002E0CE6" w:rsidP="00BD25F6">
            <w:pPr>
              <w:spacing w:after="120" w:line="276" w:lineRule="auto"/>
              <w:jc w:val="both"/>
              <w:rPr>
                <w:rFonts w:ascii="Arial" w:hAnsi="Arial" w:cs="Arial"/>
                <w:color w:val="002060"/>
              </w:rPr>
            </w:pPr>
          </w:p>
          <w:p w14:paraId="5DA2F452" w14:textId="77777777" w:rsidR="002E0CE6" w:rsidRPr="00F663D2" w:rsidRDefault="002E0CE6" w:rsidP="00BD25F6">
            <w:pPr>
              <w:spacing w:after="240" w:line="276" w:lineRule="auto"/>
              <w:jc w:val="both"/>
              <w:rPr>
                <w:rFonts w:ascii="Arial" w:hAnsi="Arial" w:cs="Arial"/>
                <w:color w:val="002060"/>
              </w:rPr>
            </w:pPr>
          </w:p>
        </w:tc>
      </w:tr>
    </w:tbl>
    <w:p w14:paraId="25DFAEC0" w14:textId="77777777" w:rsidR="001B6B9A" w:rsidRDefault="001B6B9A" w:rsidP="00521C44">
      <w:pPr>
        <w:rPr>
          <w:rFonts w:ascii="Arial" w:hAnsi="Arial" w:cs="Arial"/>
          <w:highlight w:val="yellow"/>
        </w:rPr>
      </w:pPr>
    </w:p>
    <w:p w14:paraId="5645B24E" w14:textId="77777777" w:rsidR="001B6B9A" w:rsidRDefault="001B6B9A" w:rsidP="00521C44">
      <w:pPr>
        <w:rPr>
          <w:rFonts w:ascii="Arial" w:hAnsi="Arial" w:cs="Arial"/>
          <w:highlight w:val="yellow"/>
        </w:rPr>
      </w:pPr>
    </w:p>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521C44">
      <w:pP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Pr="0083307E" w:rsidRDefault="00521C44" w:rsidP="00521C44">
      <w:pPr>
        <w:rPr>
          <w:rFonts w:ascii="Arial" w:hAnsi="Arial" w:cs="Arial"/>
        </w:rPr>
      </w:pPr>
      <w:r w:rsidRPr="0083307E">
        <w:rPr>
          <w:rFonts w:ascii="Arial" w:hAnsi="Arial" w:cs="Arial"/>
        </w:rPr>
        <w:t xml:space="preserve"> </w:t>
      </w: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Default="00521C44" w:rsidP="00521C44">
      <w:pPr>
        <w:rPr>
          <w:rFonts w:ascii="Arial" w:hAnsi="Arial" w:cs="Arial"/>
        </w:rPr>
      </w:pPr>
      <w:r w:rsidRPr="0083307E">
        <w:rPr>
          <w:rFonts w:ascii="Arial" w:hAnsi="Arial" w:cs="Arial"/>
        </w:rPr>
        <w:t xml:space="preserve"> </w:t>
      </w:r>
    </w:p>
    <w:p w14:paraId="7A758B0E" w14:textId="77777777" w:rsidR="00FA2552" w:rsidRDefault="00FA2552" w:rsidP="00521C44">
      <w:pPr>
        <w:rPr>
          <w:rFonts w:ascii="Arial" w:hAnsi="Arial" w:cs="Arial"/>
        </w:rPr>
      </w:pPr>
    </w:p>
    <w:p w14:paraId="4CA6C97F" w14:textId="77777777" w:rsidR="00FA2552" w:rsidRDefault="00FA2552" w:rsidP="00521C44">
      <w:pPr>
        <w:rPr>
          <w:rFonts w:ascii="Arial" w:hAnsi="Arial" w:cs="Arial"/>
        </w:rPr>
      </w:pPr>
    </w:p>
    <w:p w14:paraId="7A2F6EDC" w14:textId="77777777" w:rsidR="00FA2552" w:rsidRDefault="00FA2552" w:rsidP="00521C44">
      <w:pPr>
        <w:rPr>
          <w:rFonts w:ascii="Arial" w:hAnsi="Arial" w:cs="Arial"/>
        </w:rPr>
      </w:pPr>
    </w:p>
    <w:p w14:paraId="51058A72" w14:textId="77777777" w:rsidR="00FA2552" w:rsidRPr="0083307E" w:rsidRDefault="00FA2552" w:rsidP="00521C44">
      <w:pPr>
        <w:rPr>
          <w:rFonts w:ascii="Arial" w:hAnsi="Arial" w:cs="Arial"/>
        </w:rPr>
      </w:pPr>
    </w:p>
    <w:p w14:paraId="77D0F127" w14:textId="77777777" w:rsidR="00EF0CA2" w:rsidRPr="0083307E" w:rsidRDefault="00EF0CA2" w:rsidP="00521C44">
      <w:pPr>
        <w:rPr>
          <w:rFonts w:ascii="Arial" w:hAnsi="Arial" w:cs="Arial"/>
          <w:b/>
          <w:bCs/>
          <w:sz w:val="24"/>
          <w:szCs w:val="24"/>
        </w:rPr>
      </w:pPr>
    </w:p>
    <w:p w14:paraId="0208CDF2" w14:textId="5C9D1992" w:rsidR="008B4AC5" w:rsidRPr="00FA2552" w:rsidRDefault="00521C44" w:rsidP="008B4AC5">
      <w:pPr>
        <w:rPr>
          <w:rFonts w:ascii="Arial" w:hAnsi="Arial" w:cs="Arial"/>
          <w:b/>
          <w:bCs/>
          <w:sz w:val="24"/>
          <w:szCs w:val="24"/>
        </w:rPr>
      </w:pPr>
      <w:r w:rsidRPr="0083307E">
        <w:rPr>
          <w:rFonts w:ascii="Arial" w:hAnsi="Arial" w:cs="Arial"/>
          <w:b/>
          <w:bCs/>
          <w:sz w:val="24"/>
          <w:szCs w:val="24"/>
        </w:rPr>
        <w:lastRenderedPageBreak/>
        <w:t xml:space="preserve">Contents  </w:t>
      </w:r>
    </w:p>
    <w:p w14:paraId="09C65730" w14:textId="78AD4178" w:rsidR="008B4AC5" w:rsidRPr="0083307E" w:rsidRDefault="008B4AC5" w:rsidP="008B4AC5">
      <w:pPr>
        <w:rPr>
          <w:rFonts w:ascii="Arial" w:hAnsi="Arial" w:cs="Arial"/>
        </w:rPr>
      </w:pPr>
      <w:r w:rsidRPr="0083307E">
        <w:rPr>
          <w:rFonts w:ascii="Arial" w:hAnsi="Arial" w:cs="Arial"/>
        </w:rPr>
        <w:t xml:space="preserve">Introduction and policy purpose   </w:t>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t>1</w:t>
      </w:r>
    </w:p>
    <w:p w14:paraId="190B890F" w14:textId="7CB6F140" w:rsidR="008B4AC5" w:rsidRPr="0083307E" w:rsidRDefault="008B4AC5" w:rsidP="008B4AC5">
      <w:pPr>
        <w:rPr>
          <w:rFonts w:ascii="Arial" w:hAnsi="Arial" w:cs="Arial"/>
        </w:rPr>
      </w:pPr>
      <w:r w:rsidRPr="0083307E">
        <w:rPr>
          <w:rFonts w:ascii="Arial" w:hAnsi="Arial" w:cs="Arial"/>
        </w:rPr>
        <w:t xml:space="preserve">Policy statement         </w:t>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r>
      <w:r w:rsidR="0022000F">
        <w:rPr>
          <w:rFonts w:ascii="Arial" w:hAnsi="Arial" w:cs="Arial"/>
        </w:rPr>
        <w:tab/>
        <w:t>2</w:t>
      </w:r>
    </w:p>
    <w:p w14:paraId="0C703444" w14:textId="1384D3F0" w:rsidR="0022000F" w:rsidRDefault="0022000F" w:rsidP="0022000F">
      <w:pPr>
        <w:rPr>
          <w:rFonts w:ascii="Arial" w:hAnsi="Arial" w:cs="Arial"/>
        </w:rPr>
      </w:pPr>
      <w:r>
        <w:rPr>
          <w:rFonts w:ascii="Arial" w:hAnsi="Arial" w:cs="Arial"/>
        </w:rPr>
        <w:t>Responsibilities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3BF2857" w14:textId="12C85D59" w:rsidR="0022000F" w:rsidRPr="0083307E" w:rsidRDefault="0022000F" w:rsidP="0022000F">
      <w:pPr>
        <w:rPr>
          <w:rFonts w:ascii="Arial" w:hAnsi="Arial" w:cs="Arial"/>
        </w:rPr>
      </w:pPr>
      <w:r>
        <w:rPr>
          <w:rFonts w:ascii="Arial" w:hAnsi="Arial" w:cs="Arial"/>
        </w:rPr>
        <w:t xml:space="preserve">Applying for a Mutual Exchange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28D34A39" w14:textId="799722D2" w:rsidR="008B4AC5" w:rsidRDefault="0022000F" w:rsidP="008B4AC5">
      <w:pPr>
        <w:rPr>
          <w:rFonts w:ascii="Arial" w:hAnsi="Arial" w:cs="Arial"/>
        </w:rPr>
      </w:pPr>
      <w:r>
        <w:rPr>
          <w:rFonts w:ascii="Arial" w:hAnsi="Arial" w:cs="Arial"/>
        </w:rPr>
        <w:t>Property Condition &amp; Tenant Improvements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7F29DE6A" w14:textId="3076EEE2" w:rsidR="0022000F" w:rsidRDefault="0022000F" w:rsidP="008B4AC5">
      <w:pPr>
        <w:rPr>
          <w:rFonts w:ascii="Arial" w:hAnsi="Arial" w:cs="Arial"/>
        </w:rPr>
      </w:pPr>
      <w:r>
        <w:rPr>
          <w:rFonts w:ascii="Arial" w:hAnsi="Arial" w:cs="Arial"/>
        </w:rPr>
        <w:t>Decision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6593482" w14:textId="1503ED8D" w:rsidR="0022000F" w:rsidRDefault="003F28D9" w:rsidP="008B4AC5">
      <w:pPr>
        <w:rPr>
          <w:rFonts w:ascii="Arial" w:hAnsi="Arial" w:cs="Arial"/>
        </w:rPr>
      </w:pPr>
      <w:r>
        <w:rPr>
          <w:rFonts w:ascii="Arial" w:hAnsi="Arial" w:cs="Arial"/>
        </w:rPr>
        <w:t>Types of Mutual Exchange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7F96B9C0" w14:textId="462A402A" w:rsidR="003F28D9" w:rsidRDefault="003F28D9" w:rsidP="008B4AC5">
      <w:pPr>
        <w:rPr>
          <w:rFonts w:ascii="Arial" w:hAnsi="Arial" w:cs="Arial"/>
        </w:rPr>
      </w:pPr>
      <w:r>
        <w:rPr>
          <w:rFonts w:ascii="Arial" w:hAnsi="Arial" w:cs="Arial"/>
        </w:rPr>
        <w:t>Grounds for Refusing a Mutual Exchange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4EC75A95" w14:textId="6DCEE70F" w:rsidR="003F28D9" w:rsidRDefault="0019755B" w:rsidP="008B4AC5">
      <w:pPr>
        <w:rPr>
          <w:rFonts w:ascii="Arial" w:hAnsi="Arial" w:cs="Arial"/>
        </w:rPr>
      </w:pPr>
      <w:r>
        <w:rPr>
          <w:rFonts w:ascii="Arial" w:hAnsi="Arial" w:cs="Arial"/>
        </w:rPr>
        <w:t>Under Occupancy and Over Occupancy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335EDA00" w14:textId="530EA1FE" w:rsidR="0019755B" w:rsidRDefault="0019755B" w:rsidP="008B4AC5">
      <w:pPr>
        <w:rPr>
          <w:rFonts w:ascii="Arial" w:hAnsi="Arial" w:cs="Arial"/>
        </w:rPr>
      </w:pPr>
      <w:r>
        <w:rPr>
          <w:rFonts w:ascii="Arial" w:hAnsi="Arial" w:cs="Arial"/>
        </w:rPr>
        <w:t>Complaints and Appeals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46E01E3B" w14:textId="4D72DA3F" w:rsidR="0019755B" w:rsidRDefault="0019755B" w:rsidP="008B4AC5">
      <w:pPr>
        <w:rPr>
          <w:rFonts w:ascii="Arial" w:hAnsi="Arial" w:cs="Arial"/>
        </w:rPr>
      </w:pPr>
      <w:r>
        <w:rPr>
          <w:rFonts w:ascii="Arial" w:hAnsi="Arial" w:cs="Arial"/>
        </w:rPr>
        <w:t>Regulation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14:paraId="1CE5E89A" w14:textId="33581766" w:rsidR="0019755B" w:rsidRDefault="0019755B" w:rsidP="008B4AC5">
      <w:pPr>
        <w:rPr>
          <w:rFonts w:ascii="Arial" w:hAnsi="Arial" w:cs="Arial"/>
        </w:rPr>
      </w:pPr>
      <w:r>
        <w:rPr>
          <w:rFonts w:ascii="Arial" w:hAnsi="Arial" w:cs="Arial"/>
        </w:rPr>
        <w:t xml:space="preserve">Reporting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w:t>
      </w:r>
    </w:p>
    <w:p w14:paraId="23424FBF" w14:textId="71B77348" w:rsidR="0019755B" w:rsidRDefault="0019755B" w:rsidP="008B4AC5">
      <w:pPr>
        <w:rPr>
          <w:rFonts w:ascii="Arial" w:hAnsi="Arial" w:cs="Arial"/>
        </w:rPr>
      </w:pPr>
      <w:r>
        <w:rPr>
          <w:rFonts w:ascii="Arial" w:hAnsi="Arial" w:cs="Arial"/>
        </w:rPr>
        <w:t>Consultation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w:t>
      </w:r>
    </w:p>
    <w:p w14:paraId="319E959E" w14:textId="18E032B6" w:rsidR="0019755B" w:rsidRDefault="0019755B" w:rsidP="008B4AC5">
      <w:pPr>
        <w:rPr>
          <w:rFonts w:ascii="Arial" w:hAnsi="Arial" w:cs="Arial"/>
        </w:rPr>
      </w:pPr>
    </w:p>
    <w:p w14:paraId="2D91761D" w14:textId="77777777" w:rsidR="0019755B" w:rsidRDefault="0019755B" w:rsidP="008B4AC5">
      <w:pPr>
        <w:rPr>
          <w:rFonts w:ascii="Arial" w:hAnsi="Arial" w:cs="Arial"/>
        </w:rPr>
      </w:pPr>
    </w:p>
    <w:p w14:paraId="02812C02" w14:textId="77777777" w:rsidR="0019755B" w:rsidRDefault="0019755B" w:rsidP="008B4AC5">
      <w:pPr>
        <w:rPr>
          <w:rFonts w:ascii="Arial" w:hAnsi="Arial" w:cs="Arial"/>
        </w:rPr>
      </w:pPr>
    </w:p>
    <w:p w14:paraId="36D4E83B" w14:textId="77777777" w:rsidR="003F28D9" w:rsidRPr="0083307E" w:rsidRDefault="003F28D9" w:rsidP="008B4AC5">
      <w:pPr>
        <w:rPr>
          <w:rFonts w:ascii="Arial" w:hAnsi="Arial" w:cs="Arial"/>
        </w:rPr>
      </w:pPr>
    </w:p>
    <w:p w14:paraId="742E4A8F" w14:textId="08916F85" w:rsidR="008B4AC5" w:rsidRPr="0083307E" w:rsidRDefault="008B4AC5" w:rsidP="008B4AC5">
      <w:pPr>
        <w:rPr>
          <w:rFonts w:ascii="Arial" w:hAnsi="Arial" w:cs="Arial"/>
        </w:rPr>
      </w:pPr>
      <w:r w:rsidRPr="0083307E">
        <w:rPr>
          <w:rFonts w:ascii="Arial" w:hAnsi="Arial" w:cs="Arial"/>
        </w:rPr>
        <w:tab/>
      </w:r>
      <w:r w:rsidRPr="0083307E">
        <w:rPr>
          <w:rFonts w:ascii="Arial" w:hAnsi="Arial" w:cs="Arial"/>
        </w:rPr>
        <w:tab/>
      </w:r>
    </w:p>
    <w:p w14:paraId="29B2FAEF" w14:textId="77777777" w:rsidR="00521C44" w:rsidRPr="0083307E" w:rsidRDefault="00521C44" w:rsidP="00521C44">
      <w:pPr>
        <w:rPr>
          <w:rFonts w:ascii="Arial" w:hAnsi="Arial" w:cs="Arial"/>
        </w:rPr>
      </w:pPr>
    </w:p>
    <w:p w14:paraId="1D1E9482" w14:textId="77777777" w:rsidR="00521C44" w:rsidRPr="0083307E" w:rsidRDefault="00521C44" w:rsidP="00521C44">
      <w:pPr>
        <w:rPr>
          <w:rFonts w:ascii="Arial" w:hAnsi="Arial" w:cs="Arial"/>
        </w:rPr>
      </w:pPr>
    </w:p>
    <w:p w14:paraId="3933FE78" w14:textId="77777777" w:rsidR="00521C44" w:rsidRPr="0083307E" w:rsidRDefault="00521C44" w:rsidP="00521C44">
      <w:pPr>
        <w:rPr>
          <w:rFonts w:ascii="Arial" w:hAnsi="Arial" w:cs="Arial"/>
        </w:rPr>
      </w:pPr>
      <w:r w:rsidRPr="0083307E">
        <w:rPr>
          <w:rFonts w:ascii="Arial" w:hAnsi="Arial" w:cs="Arial"/>
        </w:rPr>
        <w:t xml:space="preserve"> </w:t>
      </w:r>
    </w:p>
    <w:p w14:paraId="1AB60F26" w14:textId="77777777" w:rsidR="00521C44" w:rsidRPr="0083307E" w:rsidRDefault="00521C44" w:rsidP="00521C44">
      <w:pPr>
        <w:rPr>
          <w:rFonts w:ascii="Arial" w:hAnsi="Arial" w:cs="Arial"/>
        </w:rPr>
      </w:pPr>
    </w:p>
    <w:p w14:paraId="556FD834" w14:textId="77777777" w:rsidR="00521C44" w:rsidRPr="0083307E" w:rsidRDefault="00521C44" w:rsidP="00521C44">
      <w:pPr>
        <w:rPr>
          <w:rFonts w:ascii="Arial" w:hAnsi="Arial" w:cs="Arial"/>
        </w:rPr>
      </w:pPr>
      <w:r w:rsidRPr="0083307E">
        <w:rPr>
          <w:rFonts w:ascii="Arial" w:hAnsi="Arial" w:cs="Arial"/>
        </w:rPr>
        <w:t xml:space="preserve"> </w:t>
      </w:r>
    </w:p>
    <w:p w14:paraId="3EC633F5" w14:textId="77777777" w:rsidR="00521C44" w:rsidRPr="0083307E" w:rsidRDefault="00521C44" w:rsidP="00521C44">
      <w:pPr>
        <w:rPr>
          <w:rFonts w:ascii="Arial" w:hAnsi="Arial" w:cs="Arial"/>
        </w:rPr>
      </w:pPr>
    </w:p>
    <w:p w14:paraId="54C41B83" w14:textId="77777777" w:rsidR="00521C44" w:rsidRPr="0083307E" w:rsidRDefault="00521C44" w:rsidP="00521C44">
      <w:pPr>
        <w:rPr>
          <w:rFonts w:ascii="Arial" w:hAnsi="Arial" w:cs="Arial"/>
        </w:rPr>
      </w:pPr>
      <w:r w:rsidRPr="0083307E">
        <w:rPr>
          <w:rFonts w:ascii="Arial" w:hAnsi="Arial" w:cs="Arial"/>
        </w:rPr>
        <w:t xml:space="preserve"> </w:t>
      </w:r>
    </w:p>
    <w:p w14:paraId="026064CF" w14:textId="77777777" w:rsidR="00521C44" w:rsidRPr="0083307E" w:rsidRDefault="00521C44" w:rsidP="00521C44">
      <w:pPr>
        <w:rPr>
          <w:rFonts w:ascii="Arial" w:hAnsi="Arial" w:cs="Arial"/>
        </w:rPr>
      </w:pPr>
    </w:p>
    <w:p w14:paraId="4708021C" w14:textId="77777777" w:rsidR="00521C44" w:rsidRPr="0083307E" w:rsidRDefault="00521C44" w:rsidP="00521C44">
      <w:pPr>
        <w:rPr>
          <w:rFonts w:ascii="Arial" w:hAnsi="Arial" w:cs="Arial"/>
        </w:rPr>
      </w:pPr>
      <w:r w:rsidRPr="0083307E">
        <w:rPr>
          <w:rFonts w:ascii="Arial" w:hAnsi="Arial" w:cs="Arial"/>
        </w:rPr>
        <w:t xml:space="preserve"> </w:t>
      </w:r>
    </w:p>
    <w:p w14:paraId="1945CCC2" w14:textId="77777777" w:rsidR="00521C44" w:rsidRPr="0083307E" w:rsidRDefault="00521C44" w:rsidP="00521C44">
      <w:pPr>
        <w:rPr>
          <w:rFonts w:ascii="Arial" w:hAnsi="Arial" w:cs="Arial"/>
        </w:rPr>
      </w:pPr>
    </w:p>
    <w:p w14:paraId="06B7AD7C" w14:textId="77777777" w:rsidR="00EF0CA2" w:rsidRPr="0083307E" w:rsidRDefault="00EF0CA2" w:rsidP="00521C44">
      <w:pPr>
        <w:rPr>
          <w:rFonts w:ascii="Arial" w:hAnsi="Arial" w:cs="Arial"/>
          <w:b/>
          <w:bCs/>
          <w:sz w:val="24"/>
          <w:szCs w:val="24"/>
        </w:rPr>
      </w:pPr>
    </w:p>
    <w:p w14:paraId="1031AB6E" w14:textId="77777777" w:rsidR="00EF0CA2" w:rsidRPr="0083307E" w:rsidRDefault="00EF0CA2" w:rsidP="00521C44">
      <w:pPr>
        <w:rPr>
          <w:rFonts w:ascii="Arial" w:hAnsi="Arial" w:cs="Arial"/>
          <w:b/>
          <w:bCs/>
          <w:sz w:val="24"/>
          <w:szCs w:val="24"/>
        </w:rPr>
      </w:pPr>
    </w:p>
    <w:p w14:paraId="7017381E" w14:textId="5A77ACE3" w:rsidR="00A90DDB" w:rsidRPr="005023F9" w:rsidRDefault="00FA2552" w:rsidP="0019755B">
      <w:pPr>
        <w:pStyle w:val="Level1"/>
        <w:keepNext/>
        <w:numPr>
          <w:ilvl w:val="0"/>
          <w:numId w:val="0"/>
        </w:numPr>
        <w:rPr>
          <w:rStyle w:val="Level1asheadingtext"/>
          <w:b w:val="0"/>
          <w:sz w:val="22"/>
        </w:rPr>
      </w:pPr>
      <w:r>
        <w:rPr>
          <w:rStyle w:val="Level1asheadingtext"/>
          <w:sz w:val="22"/>
        </w:rPr>
        <w:lastRenderedPageBreak/>
        <w:t xml:space="preserve">1.0 </w:t>
      </w:r>
      <w:r w:rsidR="00A90DDB" w:rsidRPr="005023F9">
        <w:rPr>
          <w:rStyle w:val="Level1asheadingtext"/>
          <w:sz w:val="22"/>
        </w:rPr>
        <w:t>Introduction: the purpose of this policy</w:t>
      </w:r>
    </w:p>
    <w:p w14:paraId="78462751" w14:textId="77777777" w:rsidR="00FA2552" w:rsidRDefault="00FA2552" w:rsidP="00FA2552">
      <w:pPr>
        <w:pStyle w:val="BodyText"/>
        <w:numPr>
          <w:ilvl w:val="1"/>
          <w:numId w:val="10"/>
        </w:numPr>
        <w:rPr>
          <w:rFonts w:ascii="Arial" w:hAnsi="Arial" w:cs="Arial"/>
          <w:sz w:val="22"/>
          <w:szCs w:val="22"/>
        </w:rPr>
      </w:pPr>
      <w:r w:rsidRPr="003A70AE">
        <w:rPr>
          <w:rFonts w:ascii="Arial" w:hAnsi="Arial" w:cs="Arial"/>
          <w:sz w:val="22"/>
          <w:szCs w:val="22"/>
        </w:rPr>
        <w:t>Mutual exchange refers to the legal right of secure and assured tenants to swap their tenancies. Mutual Exchange is a statutory service – this means that unless someone is restricted via the grounds set out below, the right the Mutual Exchange cannot be withheld.</w:t>
      </w:r>
    </w:p>
    <w:p w14:paraId="365F4291" w14:textId="77777777" w:rsidR="00FA2552" w:rsidRPr="003A70AE" w:rsidRDefault="00FA2552" w:rsidP="00FA2552">
      <w:pPr>
        <w:pStyle w:val="BodyText"/>
        <w:ind w:left="360"/>
        <w:rPr>
          <w:rFonts w:ascii="Arial" w:hAnsi="Arial" w:cs="Arial"/>
          <w:sz w:val="22"/>
          <w:szCs w:val="22"/>
        </w:rPr>
      </w:pPr>
    </w:p>
    <w:p w14:paraId="7F897D21" w14:textId="77777777" w:rsidR="00FA2552" w:rsidRPr="003A70AE" w:rsidRDefault="00FA2552" w:rsidP="00FA2552">
      <w:pPr>
        <w:pStyle w:val="BodyText"/>
        <w:numPr>
          <w:ilvl w:val="1"/>
          <w:numId w:val="10"/>
        </w:numPr>
        <w:rPr>
          <w:rFonts w:ascii="Arial" w:hAnsi="Arial" w:cs="Arial"/>
          <w:sz w:val="22"/>
          <w:szCs w:val="22"/>
        </w:rPr>
      </w:pPr>
      <w:r w:rsidRPr="003A70AE">
        <w:rPr>
          <w:rFonts w:ascii="Arial" w:hAnsi="Arial" w:cs="Arial"/>
          <w:sz w:val="22"/>
          <w:szCs w:val="22"/>
        </w:rPr>
        <w:t xml:space="preserve">A Mutual Exchange is self-managed by the customers involved, and the involvement of the Housing Association is limited to the granting of permission. </w:t>
      </w:r>
    </w:p>
    <w:p w14:paraId="58924DA1" w14:textId="77777777" w:rsidR="00FA2552" w:rsidRDefault="00FA2552" w:rsidP="00FA2552">
      <w:pPr>
        <w:pStyle w:val="BodyText"/>
        <w:rPr>
          <w:rFonts w:ascii="Arial" w:hAnsi="Arial" w:cs="Arial"/>
        </w:rPr>
      </w:pPr>
    </w:p>
    <w:p w14:paraId="74DD34E0" w14:textId="13E2C862" w:rsidR="00FA2552" w:rsidRDefault="00FA2552" w:rsidP="00FA2552">
      <w:pPr>
        <w:pStyle w:val="BodyText"/>
        <w:numPr>
          <w:ilvl w:val="1"/>
          <w:numId w:val="10"/>
        </w:numPr>
        <w:rPr>
          <w:rFonts w:ascii="Arial" w:hAnsi="Arial" w:cs="Arial"/>
          <w:sz w:val="22"/>
          <w:szCs w:val="22"/>
        </w:rPr>
      </w:pPr>
      <w:r w:rsidRPr="003A70AE">
        <w:rPr>
          <w:rFonts w:ascii="Arial" w:hAnsi="Arial" w:cs="Arial"/>
          <w:sz w:val="22"/>
          <w:szCs w:val="22"/>
        </w:rPr>
        <w:t xml:space="preserve">The purpose of our Mutual Exchange Policy is to promote choice and mobility for tenants and make the best use of our stock in meeting housing </w:t>
      </w:r>
      <w:proofErr w:type="gramStart"/>
      <w:r w:rsidRPr="003A70AE">
        <w:rPr>
          <w:rFonts w:ascii="Arial" w:hAnsi="Arial" w:cs="Arial"/>
          <w:sz w:val="22"/>
          <w:szCs w:val="22"/>
        </w:rPr>
        <w:t>need</w:t>
      </w:r>
      <w:proofErr w:type="gramEnd"/>
      <w:r w:rsidRPr="003A70AE">
        <w:rPr>
          <w:rFonts w:ascii="Arial" w:hAnsi="Arial" w:cs="Arial"/>
          <w:sz w:val="22"/>
          <w:szCs w:val="22"/>
        </w:rPr>
        <w:t xml:space="preserve">. </w:t>
      </w:r>
    </w:p>
    <w:p w14:paraId="65426AC9" w14:textId="77777777" w:rsidR="00FA2552" w:rsidRPr="003A70AE" w:rsidRDefault="00FA2552" w:rsidP="00FA2552">
      <w:pPr>
        <w:pStyle w:val="BodyText"/>
        <w:ind w:left="360"/>
        <w:rPr>
          <w:rFonts w:ascii="Arial" w:hAnsi="Arial" w:cs="Arial"/>
          <w:sz w:val="22"/>
          <w:szCs w:val="22"/>
        </w:rPr>
      </w:pPr>
    </w:p>
    <w:p w14:paraId="40079323" w14:textId="77777777" w:rsidR="00FA2552" w:rsidRPr="003A70AE" w:rsidRDefault="00FA2552" w:rsidP="00FA2552">
      <w:pPr>
        <w:pStyle w:val="BodyText"/>
        <w:numPr>
          <w:ilvl w:val="1"/>
          <w:numId w:val="10"/>
        </w:numPr>
        <w:rPr>
          <w:rFonts w:ascii="Arial" w:hAnsi="Arial" w:cs="Arial"/>
          <w:sz w:val="22"/>
          <w:szCs w:val="22"/>
        </w:rPr>
      </w:pPr>
      <w:r w:rsidRPr="003A70AE">
        <w:rPr>
          <w:rFonts w:ascii="Arial" w:hAnsi="Arial" w:cs="Arial"/>
          <w:sz w:val="22"/>
          <w:szCs w:val="22"/>
        </w:rPr>
        <w:t xml:space="preserve">This policy sets out: </w:t>
      </w:r>
    </w:p>
    <w:p w14:paraId="7DA471B0" w14:textId="77777777" w:rsidR="00FA2552" w:rsidRPr="003A70AE" w:rsidRDefault="00FA2552" w:rsidP="00FA2552">
      <w:pPr>
        <w:pStyle w:val="BodyText"/>
        <w:ind w:left="720"/>
        <w:rPr>
          <w:rFonts w:ascii="Arial" w:hAnsi="Arial" w:cs="Arial"/>
          <w:sz w:val="22"/>
          <w:szCs w:val="22"/>
        </w:rPr>
      </w:pPr>
    </w:p>
    <w:p w14:paraId="28AA742F" w14:textId="38FFA524" w:rsidR="00FA2552" w:rsidRPr="003A70AE" w:rsidRDefault="00FA2552" w:rsidP="00FA2552">
      <w:pPr>
        <w:pStyle w:val="BodyText"/>
        <w:numPr>
          <w:ilvl w:val="0"/>
          <w:numId w:val="12"/>
        </w:numPr>
        <w:rPr>
          <w:rFonts w:ascii="Arial" w:hAnsi="Arial" w:cs="Arial"/>
          <w:sz w:val="22"/>
          <w:szCs w:val="22"/>
        </w:rPr>
      </w:pPr>
      <w:r w:rsidRPr="003A70AE">
        <w:rPr>
          <w:rFonts w:ascii="Arial" w:hAnsi="Arial" w:cs="Arial"/>
          <w:sz w:val="22"/>
          <w:szCs w:val="22"/>
        </w:rPr>
        <w:t xml:space="preserve">Our approach to mutual exchange </w:t>
      </w:r>
    </w:p>
    <w:p w14:paraId="2E3803AB" w14:textId="3E93DBC9" w:rsidR="00FA2552" w:rsidRPr="003A70AE" w:rsidRDefault="00FA2552" w:rsidP="00FA2552">
      <w:pPr>
        <w:pStyle w:val="BodyText"/>
        <w:numPr>
          <w:ilvl w:val="0"/>
          <w:numId w:val="12"/>
        </w:numPr>
        <w:rPr>
          <w:rFonts w:ascii="Arial" w:hAnsi="Arial" w:cs="Arial"/>
          <w:sz w:val="22"/>
          <w:szCs w:val="22"/>
        </w:rPr>
      </w:pPr>
      <w:r w:rsidRPr="003A70AE">
        <w:rPr>
          <w:rFonts w:ascii="Arial" w:hAnsi="Arial" w:cs="Arial"/>
          <w:sz w:val="22"/>
          <w:szCs w:val="22"/>
        </w:rPr>
        <w:t xml:space="preserve">Which tenancies have the right to a mutual exchange </w:t>
      </w:r>
    </w:p>
    <w:p w14:paraId="35F193BC" w14:textId="09126399" w:rsidR="00FA2552" w:rsidRPr="003A70AE" w:rsidRDefault="00FA2552" w:rsidP="00FA2552">
      <w:pPr>
        <w:pStyle w:val="BodyText"/>
        <w:numPr>
          <w:ilvl w:val="0"/>
          <w:numId w:val="12"/>
        </w:numPr>
        <w:rPr>
          <w:rFonts w:ascii="Arial" w:hAnsi="Arial" w:cs="Arial"/>
          <w:sz w:val="22"/>
          <w:szCs w:val="22"/>
        </w:rPr>
      </w:pPr>
      <w:r w:rsidRPr="003A70AE">
        <w:rPr>
          <w:rFonts w:ascii="Arial" w:hAnsi="Arial" w:cs="Arial"/>
          <w:sz w:val="22"/>
          <w:szCs w:val="22"/>
        </w:rPr>
        <w:t xml:space="preserve">The type of tenancies we will grant to tenants following an exchange </w:t>
      </w:r>
    </w:p>
    <w:p w14:paraId="0FBD5A42" w14:textId="53026B60" w:rsidR="00FA2552" w:rsidRPr="003A70AE" w:rsidRDefault="00FA2552" w:rsidP="00FA2552">
      <w:pPr>
        <w:pStyle w:val="BodyText"/>
        <w:numPr>
          <w:ilvl w:val="0"/>
          <w:numId w:val="12"/>
        </w:numPr>
        <w:rPr>
          <w:rFonts w:ascii="Arial" w:hAnsi="Arial" w:cs="Arial"/>
          <w:sz w:val="22"/>
          <w:szCs w:val="22"/>
        </w:rPr>
      </w:pPr>
      <w:r w:rsidRPr="003A70AE">
        <w:rPr>
          <w:rFonts w:ascii="Arial" w:hAnsi="Arial" w:cs="Arial"/>
          <w:sz w:val="22"/>
          <w:szCs w:val="22"/>
        </w:rPr>
        <w:t xml:space="preserve">How we will manage applications </w:t>
      </w:r>
    </w:p>
    <w:p w14:paraId="6E3C49F9" w14:textId="4B77FA87" w:rsidR="00FA2552" w:rsidRPr="003A70AE" w:rsidRDefault="00FA2552" w:rsidP="00FA2552">
      <w:pPr>
        <w:pStyle w:val="BodyText"/>
        <w:numPr>
          <w:ilvl w:val="0"/>
          <w:numId w:val="12"/>
        </w:numPr>
        <w:rPr>
          <w:rFonts w:ascii="Arial" w:hAnsi="Arial" w:cs="Arial"/>
          <w:sz w:val="22"/>
          <w:szCs w:val="22"/>
        </w:rPr>
      </w:pPr>
      <w:r w:rsidRPr="003A70AE">
        <w:rPr>
          <w:rFonts w:ascii="Arial" w:hAnsi="Arial" w:cs="Arial"/>
          <w:sz w:val="22"/>
          <w:szCs w:val="22"/>
        </w:rPr>
        <w:t xml:space="preserve">The circumstances under which we will give or withhold consent to an exchange. </w:t>
      </w:r>
    </w:p>
    <w:p w14:paraId="19EED7E9" w14:textId="77777777" w:rsidR="00FA2552" w:rsidRPr="003A70AE" w:rsidRDefault="00FA2552" w:rsidP="00FA2552">
      <w:pPr>
        <w:pStyle w:val="BodyText"/>
        <w:rPr>
          <w:rFonts w:ascii="Arial" w:hAnsi="Arial" w:cs="Arial"/>
          <w:sz w:val="22"/>
          <w:szCs w:val="22"/>
        </w:rPr>
      </w:pPr>
    </w:p>
    <w:p w14:paraId="7ADDC242" w14:textId="77777777" w:rsidR="00FA2552" w:rsidRPr="003A70AE" w:rsidRDefault="00FA2552" w:rsidP="00FA2552">
      <w:pPr>
        <w:pStyle w:val="BodyText"/>
        <w:rPr>
          <w:rFonts w:ascii="Arial" w:hAnsi="Arial" w:cs="Arial"/>
          <w:sz w:val="22"/>
          <w:szCs w:val="22"/>
        </w:rPr>
      </w:pPr>
      <w:r w:rsidRPr="003A70AE">
        <w:rPr>
          <w:rFonts w:ascii="Arial" w:hAnsi="Arial" w:cs="Arial"/>
          <w:sz w:val="22"/>
          <w:szCs w:val="22"/>
        </w:rPr>
        <w:t>West</w:t>
      </w:r>
      <w:r w:rsidRPr="003A70AE">
        <w:rPr>
          <w:rFonts w:ascii="Arial" w:hAnsi="Arial" w:cs="Arial"/>
          <w:spacing w:val="-1"/>
          <w:sz w:val="22"/>
          <w:szCs w:val="22"/>
        </w:rPr>
        <w:t xml:space="preserve"> </w:t>
      </w:r>
      <w:r w:rsidRPr="003A70AE">
        <w:rPr>
          <w:rFonts w:ascii="Arial" w:hAnsi="Arial" w:cs="Arial"/>
          <w:sz w:val="22"/>
          <w:szCs w:val="22"/>
        </w:rPr>
        <w:t>Kent</w:t>
      </w:r>
      <w:r w:rsidRPr="003A70AE">
        <w:rPr>
          <w:rFonts w:ascii="Arial" w:hAnsi="Arial" w:cs="Arial"/>
          <w:spacing w:val="-1"/>
          <w:sz w:val="22"/>
          <w:szCs w:val="22"/>
        </w:rPr>
        <w:t xml:space="preserve"> </w:t>
      </w:r>
      <w:proofErr w:type="spellStart"/>
      <w:r w:rsidRPr="003A70AE">
        <w:rPr>
          <w:rFonts w:ascii="Arial" w:hAnsi="Arial" w:cs="Arial"/>
          <w:sz w:val="22"/>
          <w:szCs w:val="22"/>
        </w:rPr>
        <w:t>recognises</w:t>
      </w:r>
      <w:proofErr w:type="spellEnd"/>
      <w:r w:rsidRPr="003A70AE">
        <w:rPr>
          <w:rFonts w:ascii="Arial" w:hAnsi="Arial" w:cs="Arial"/>
          <w:spacing w:val="-1"/>
          <w:sz w:val="22"/>
          <w:szCs w:val="22"/>
        </w:rPr>
        <w:t xml:space="preserve"> </w:t>
      </w:r>
      <w:r w:rsidRPr="003A70AE">
        <w:rPr>
          <w:rFonts w:ascii="Arial" w:hAnsi="Arial" w:cs="Arial"/>
          <w:sz w:val="22"/>
          <w:szCs w:val="22"/>
        </w:rPr>
        <w:t>that</w:t>
      </w:r>
      <w:r w:rsidRPr="003A70AE">
        <w:rPr>
          <w:rFonts w:ascii="Arial" w:hAnsi="Arial" w:cs="Arial"/>
          <w:spacing w:val="-1"/>
          <w:sz w:val="22"/>
          <w:szCs w:val="22"/>
        </w:rPr>
        <w:t xml:space="preserve"> </w:t>
      </w:r>
      <w:r w:rsidRPr="003A70AE">
        <w:rPr>
          <w:rFonts w:ascii="Arial" w:hAnsi="Arial" w:cs="Arial"/>
          <w:sz w:val="22"/>
          <w:szCs w:val="22"/>
        </w:rPr>
        <w:t>promoting</w:t>
      </w:r>
      <w:r w:rsidRPr="003A70AE">
        <w:rPr>
          <w:rFonts w:ascii="Arial" w:hAnsi="Arial" w:cs="Arial"/>
          <w:spacing w:val="-1"/>
          <w:sz w:val="22"/>
          <w:szCs w:val="22"/>
        </w:rPr>
        <w:t xml:space="preserve"> </w:t>
      </w:r>
      <w:r w:rsidRPr="003A70AE">
        <w:rPr>
          <w:rFonts w:ascii="Arial" w:hAnsi="Arial" w:cs="Arial"/>
          <w:sz w:val="22"/>
          <w:szCs w:val="22"/>
        </w:rPr>
        <w:t>mutual</w:t>
      </w:r>
      <w:r w:rsidRPr="003A70AE">
        <w:rPr>
          <w:rFonts w:ascii="Arial" w:hAnsi="Arial" w:cs="Arial"/>
          <w:spacing w:val="-1"/>
          <w:sz w:val="22"/>
          <w:szCs w:val="22"/>
        </w:rPr>
        <w:t xml:space="preserve"> </w:t>
      </w:r>
      <w:r w:rsidRPr="003A70AE">
        <w:rPr>
          <w:rFonts w:ascii="Arial" w:hAnsi="Arial" w:cs="Arial"/>
          <w:sz w:val="22"/>
          <w:szCs w:val="22"/>
        </w:rPr>
        <w:t>exchanges</w:t>
      </w:r>
      <w:r w:rsidRPr="003A70AE">
        <w:rPr>
          <w:rFonts w:ascii="Arial" w:hAnsi="Arial" w:cs="Arial"/>
          <w:spacing w:val="-1"/>
          <w:sz w:val="22"/>
          <w:szCs w:val="22"/>
        </w:rPr>
        <w:t xml:space="preserve"> </w:t>
      </w:r>
      <w:r w:rsidRPr="003A70AE">
        <w:rPr>
          <w:rFonts w:ascii="Arial" w:hAnsi="Arial" w:cs="Arial"/>
          <w:sz w:val="22"/>
          <w:szCs w:val="22"/>
        </w:rPr>
        <w:t>encourages</w:t>
      </w:r>
      <w:r w:rsidRPr="003A70AE">
        <w:rPr>
          <w:rFonts w:ascii="Arial" w:hAnsi="Arial" w:cs="Arial"/>
          <w:spacing w:val="-1"/>
          <w:sz w:val="22"/>
          <w:szCs w:val="22"/>
        </w:rPr>
        <w:t xml:space="preserve"> </w:t>
      </w:r>
      <w:r w:rsidRPr="003A70AE">
        <w:rPr>
          <w:rFonts w:ascii="Arial" w:hAnsi="Arial" w:cs="Arial"/>
          <w:sz w:val="22"/>
          <w:szCs w:val="22"/>
        </w:rPr>
        <w:t>tenant</w:t>
      </w:r>
      <w:r w:rsidRPr="003A70AE">
        <w:rPr>
          <w:rFonts w:ascii="Arial" w:hAnsi="Arial" w:cs="Arial"/>
          <w:spacing w:val="-1"/>
          <w:sz w:val="22"/>
          <w:szCs w:val="22"/>
        </w:rPr>
        <w:t xml:space="preserve"> </w:t>
      </w:r>
      <w:r w:rsidRPr="003A70AE">
        <w:rPr>
          <w:rFonts w:ascii="Arial" w:hAnsi="Arial" w:cs="Arial"/>
          <w:sz w:val="22"/>
          <w:szCs w:val="22"/>
        </w:rPr>
        <w:t>mobility</w:t>
      </w:r>
      <w:r w:rsidRPr="003A70AE">
        <w:rPr>
          <w:rFonts w:ascii="Arial" w:hAnsi="Arial" w:cs="Arial"/>
          <w:spacing w:val="-1"/>
          <w:sz w:val="22"/>
          <w:szCs w:val="22"/>
        </w:rPr>
        <w:t xml:space="preserve"> </w:t>
      </w:r>
      <w:r w:rsidRPr="003A70AE">
        <w:rPr>
          <w:rFonts w:ascii="Arial" w:hAnsi="Arial" w:cs="Arial"/>
          <w:sz w:val="22"/>
          <w:szCs w:val="22"/>
        </w:rPr>
        <w:t>and helps create sustainable communities with better use of our housing stock.</w:t>
      </w:r>
    </w:p>
    <w:p w14:paraId="28725C28" w14:textId="77777777" w:rsidR="00FA2552" w:rsidRPr="003A70AE" w:rsidRDefault="00FA2552" w:rsidP="00FA2552">
      <w:pPr>
        <w:pStyle w:val="BodyText"/>
        <w:rPr>
          <w:rFonts w:ascii="Arial" w:hAnsi="Arial" w:cs="Arial"/>
          <w:sz w:val="22"/>
          <w:szCs w:val="22"/>
        </w:rPr>
      </w:pPr>
    </w:p>
    <w:p w14:paraId="46463FE0" w14:textId="77777777" w:rsidR="00FA2552" w:rsidRPr="003A70AE" w:rsidRDefault="00FA2552" w:rsidP="00FA2552">
      <w:pPr>
        <w:pStyle w:val="BodyText"/>
        <w:rPr>
          <w:rFonts w:ascii="Arial" w:hAnsi="Arial" w:cs="Arial"/>
          <w:spacing w:val="-6"/>
          <w:sz w:val="22"/>
          <w:szCs w:val="22"/>
        </w:rPr>
      </w:pPr>
      <w:r w:rsidRPr="003A70AE">
        <w:rPr>
          <w:rFonts w:ascii="Arial" w:hAnsi="Arial" w:cs="Arial"/>
          <w:sz w:val="22"/>
          <w:szCs w:val="22"/>
        </w:rPr>
        <w:t>Mutual Exchange can offer a quick and efficient way for tenants to move,</w:t>
      </w:r>
      <w:r w:rsidRPr="003A70AE">
        <w:rPr>
          <w:rFonts w:ascii="Arial" w:hAnsi="Arial" w:cs="Arial"/>
          <w:spacing w:val="-9"/>
          <w:sz w:val="22"/>
          <w:szCs w:val="22"/>
        </w:rPr>
        <w:t xml:space="preserve"> </w:t>
      </w:r>
      <w:r w:rsidRPr="003A70AE">
        <w:rPr>
          <w:rFonts w:ascii="Arial" w:hAnsi="Arial" w:cs="Arial"/>
          <w:sz w:val="22"/>
          <w:szCs w:val="22"/>
        </w:rPr>
        <w:t>enabling them to choose where they live and avoid long waits on the housing register.</w:t>
      </w:r>
      <w:r w:rsidRPr="003A70AE">
        <w:rPr>
          <w:rFonts w:ascii="Arial" w:hAnsi="Arial" w:cs="Arial"/>
          <w:spacing w:val="-6"/>
          <w:sz w:val="22"/>
          <w:szCs w:val="22"/>
        </w:rPr>
        <w:t xml:space="preserve"> </w:t>
      </w:r>
    </w:p>
    <w:p w14:paraId="69BB7776" w14:textId="77777777" w:rsidR="0053134E" w:rsidRPr="001B3EE0" w:rsidRDefault="0053134E" w:rsidP="00FA2552">
      <w:pPr>
        <w:pStyle w:val="Level2"/>
        <w:numPr>
          <w:ilvl w:val="0"/>
          <w:numId w:val="0"/>
        </w:numPr>
        <w:rPr>
          <w:sz w:val="24"/>
          <w:szCs w:val="24"/>
        </w:rPr>
      </w:pPr>
    </w:p>
    <w:p w14:paraId="0581E65F" w14:textId="618A6ECF" w:rsidR="001B3EE0" w:rsidRPr="001B3EE0" w:rsidRDefault="001B3EE0" w:rsidP="00FA2552">
      <w:pPr>
        <w:pStyle w:val="Level1"/>
        <w:keepNext/>
        <w:numPr>
          <w:ilvl w:val="0"/>
          <w:numId w:val="14"/>
        </w:numPr>
        <w:rPr>
          <w:rStyle w:val="Level1asheadingtext"/>
          <w:b w:val="0"/>
          <w:sz w:val="22"/>
        </w:rPr>
      </w:pPr>
      <w:r w:rsidRPr="001B3EE0">
        <w:rPr>
          <w:rStyle w:val="Level1asheadingtext"/>
          <w:sz w:val="22"/>
        </w:rPr>
        <w:t xml:space="preserve">Policy Statement  </w:t>
      </w:r>
    </w:p>
    <w:p w14:paraId="332FAB03" w14:textId="148FAB6D" w:rsidR="00FA2552" w:rsidRPr="00FA2552" w:rsidRDefault="00FA2552" w:rsidP="00FA2552">
      <w:pPr>
        <w:pStyle w:val="Level1"/>
        <w:numPr>
          <w:ilvl w:val="0"/>
          <w:numId w:val="0"/>
        </w:numPr>
        <w:rPr>
          <w:sz w:val="22"/>
        </w:rPr>
      </w:pPr>
      <w:r>
        <w:rPr>
          <w:sz w:val="22"/>
        </w:rPr>
        <w:t xml:space="preserve">2.1 </w:t>
      </w:r>
      <w:r w:rsidRPr="00FA2552">
        <w:rPr>
          <w:sz w:val="22"/>
        </w:rPr>
        <w:t>We will ensure that Mutual Exchanges are conducted in accordance with the statutory requirements, Homes &amp; Communities regulatory standards and in line with this policy and accompanying procedure.</w:t>
      </w:r>
    </w:p>
    <w:p w14:paraId="423AEFCC" w14:textId="0AD78B86" w:rsidR="00955A8E" w:rsidRDefault="00FA2552" w:rsidP="00FA2552">
      <w:pPr>
        <w:pStyle w:val="Level1"/>
        <w:numPr>
          <w:ilvl w:val="0"/>
          <w:numId w:val="0"/>
        </w:numPr>
        <w:rPr>
          <w:sz w:val="22"/>
        </w:rPr>
      </w:pPr>
      <w:r>
        <w:rPr>
          <w:sz w:val="22"/>
        </w:rPr>
        <w:t xml:space="preserve">2.2 </w:t>
      </w:r>
      <w:r w:rsidRPr="00FA2552">
        <w:rPr>
          <w:sz w:val="22"/>
        </w:rPr>
        <w:t>We will make sure that tenants are aware of their rights in respect of Right to Buy and Right of Succession which could be lost when the exchange takes place.</w:t>
      </w:r>
    </w:p>
    <w:p w14:paraId="5A44C679" w14:textId="18C602BE" w:rsidR="00FA2552" w:rsidRDefault="00FA2552" w:rsidP="00FA2552">
      <w:pPr>
        <w:pStyle w:val="Level2"/>
        <w:numPr>
          <w:ilvl w:val="0"/>
          <w:numId w:val="0"/>
        </w:numPr>
        <w:ind w:left="992" w:hanging="992"/>
        <w:rPr>
          <w:rStyle w:val="Level1asheadingtext"/>
          <w:bCs/>
          <w:sz w:val="22"/>
        </w:rPr>
      </w:pPr>
      <w:r w:rsidRPr="00FA2552">
        <w:rPr>
          <w:rStyle w:val="Level1asheadingtext"/>
          <w:bCs/>
          <w:sz w:val="22"/>
        </w:rPr>
        <w:t>3.0 Responsibilities</w:t>
      </w:r>
    </w:p>
    <w:p w14:paraId="55043019" w14:textId="03B5813F" w:rsidR="00FA2552" w:rsidRPr="00FA2552" w:rsidRDefault="00FA2552" w:rsidP="00FA2552">
      <w:pPr>
        <w:pStyle w:val="Level2"/>
        <w:numPr>
          <w:ilvl w:val="0"/>
          <w:numId w:val="0"/>
        </w:numPr>
        <w:ind w:left="992" w:hanging="992"/>
        <w:rPr>
          <w:rStyle w:val="Level1asheadingtext"/>
          <w:bCs/>
          <w:sz w:val="22"/>
        </w:rPr>
      </w:pPr>
      <w:r>
        <w:rPr>
          <w:rStyle w:val="Level1asheadingtext"/>
          <w:bCs/>
          <w:sz w:val="22"/>
        </w:rPr>
        <w:t>3.1 Our responsibilities</w:t>
      </w:r>
    </w:p>
    <w:p w14:paraId="0EE4B7C8" w14:textId="1C0D9CF7" w:rsidR="00FA2552" w:rsidRPr="00E1372F" w:rsidRDefault="00FA2552" w:rsidP="00FA2552">
      <w:pPr>
        <w:pStyle w:val="ListParagraph"/>
        <w:numPr>
          <w:ilvl w:val="2"/>
          <w:numId w:val="15"/>
        </w:numPr>
        <w:spacing w:after="0" w:line="276" w:lineRule="auto"/>
        <w:contextualSpacing w:val="0"/>
        <w:jc w:val="both"/>
      </w:pPr>
      <w:r w:rsidRPr="00E1372F">
        <w:t>West Kent will notify tenants of our decision to approve or decline the exchange within 42 calendar days of all applications involved in the exchange being received.</w:t>
      </w:r>
    </w:p>
    <w:p w14:paraId="776B228F" w14:textId="77777777" w:rsidR="00FA2552" w:rsidRPr="00E1372F" w:rsidRDefault="00FA2552" w:rsidP="00FA2552">
      <w:pPr>
        <w:pStyle w:val="ListParagraph"/>
        <w:numPr>
          <w:ilvl w:val="2"/>
          <w:numId w:val="15"/>
        </w:numPr>
        <w:spacing w:after="0" w:line="276" w:lineRule="auto"/>
        <w:contextualSpacing w:val="0"/>
        <w:jc w:val="both"/>
      </w:pPr>
      <w:r w:rsidRPr="00E1372F">
        <w:t>West Kents decision to approve or decline the exchange will be made in writing and if the decision is to decline, we will outline the reasons for the refusal</w:t>
      </w:r>
      <w:r>
        <w:t xml:space="preserve"> – which will only be in line with statutory refusal conditions.</w:t>
      </w:r>
    </w:p>
    <w:p w14:paraId="6419BCE9" w14:textId="77777777" w:rsidR="00FA2552" w:rsidRPr="00850AF0" w:rsidRDefault="00FA2552" w:rsidP="00FA2552">
      <w:pPr>
        <w:pStyle w:val="ListParagraph"/>
        <w:numPr>
          <w:ilvl w:val="2"/>
          <w:numId w:val="15"/>
        </w:numPr>
        <w:spacing w:after="0" w:line="276" w:lineRule="auto"/>
        <w:contextualSpacing w:val="0"/>
        <w:jc w:val="both"/>
      </w:pPr>
      <w:r w:rsidRPr="00E1372F">
        <w:t xml:space="preserve">West Kent will conduct an inspection of the property prior to the exchange taking place, </w:t>
      </w:r>
      <w:r w:rsidRPr="00850AF0">
        <w:t xml:space="preserve">this may be completed in person or via a virtual inspection. We will provide a written report of the property condition and clearly outline the tenant’s responsibilities. </w:t>
      </w:r>
    </w:p>
    <w:p w14:paraId="4A712550" w14:textId="77777777" w:rsidR="00FA2552" w:rsidRDefault="00FA2552" w:rsidP="00FA2552">
      <w:pPr>
        <w:pStyle w:val="ListParagraph"/>
        <w:numPr>
          <w:ilvl w:val="2"/>
          <w:numId w:val="15"/>
        </w:numPr>
        <w:spacing w:after="0" w:line="276" w:lineRule="auto"/>
        <w:contextualSpacing w:val="0"/>
        <w:jc w:val="both"/>
      </w:pPr>
      <w:r w:rsidRPr="00850AF0">
        <w:lastRenderedPageBreak/>
        <w:t>West Kent will remain responsible for any Landlord repair obligations</w:t>
      </w:r>
      <w:r>
        <w:t>, but it is the outgoing tenant’s responsibility to ensure the property is left in a good condition, and as it was when they first moved in</w:t>
      </w:r>
      <w:r w:rsidRPr="00850AF0">
        <w:t>.</w:t>
      </w:r>
    </w:p>
    <w:p w14:paraId="5B2457CE" w14:textId="77777777" w:rsidR="00FA2552" w:rsidRPr="00850AF0" w:rsidRDefault="00FA2552" w:rsidP="00FA2552">
      <w:pPr>
        <w:pStyle w:val="ListParagraph"/>
        <w:spacing w:after="0" w:line="276" w:lineRule="auto"/>
        <w:contextualSpacing w:val="0"/>
        <w:jc w:val="both"/>
      </w:pPr>
    </w:p>
    <w:p w14:paraId="48AAF103" w14:textId="51BA154E" w:rsidR="00FA2552" w:rsidRDefault="00FA2552" w:rsidP="00FA2552">
      <w:pPr>
        <w:pStyle w:val="Level2"/>
        <w:numPr>
          <w:ilvl w:val="1"/>
          <w:numId w:val="15"/>
        </w:numPr>
        <w:rPr>
          <w:b/>
          <w:bCs/>
          <w:sz w:val="22"/>
        </w:rPr>
      </w:pPr>
      <w:r w:rsidRPr="00FA2552">
        <w:rPr>
          <w:b/>
          <w:bCs/>
          <w:sz w:val="22"/>
        </w:rPr>
        <w:t>Tenant responsibilities</w:t>
      </w:r>
    </w:p>
    <w:p w14:paraId="74FE66B1" w14:textId="4C0DAB09" w:rsidR="00FA2552" w:rsidRPr="00E1372F" w:rsidRDefault="00FA2552" w:rsidP="00FA2552">
      <w:pPr>
        <w:pStyle w:val="ListParagraph"/>
        <w:numPr>
          <w:ilvl w:val="2"/>
          <w:numId w:val="15"/>
        </w:numPr>
        <w:spacing w:after="0" w:line="276" w:lineRule="auto"/>
        <w:contextualSpacing w:val="0"/>
        <w:jc w:val="both"/>
      </w:pPr>
      <w:r w:rsidRPr="00E1372F">
        <w:t>Tenants are responsible for finding an exchange partner and completing an online application when they have found someone they wish to exchange with.</w:t>
      </w:r>
    </w:p>
    <w:p w14:paraId="5EB68F7B" w14:textId="77777777" w:rsidR="00FA2552" w:rsidRPr="00E1372F" w:rsidRDefault="00FA2552" w:rsidP="00FA2552">
      <w:pPr>
        <w:pStyle w:val="ListParagraph"/>
        <w:numPr>
          <w:ilvl w:val="2"/>
          <w:numId w:val="15"/>
        </w:numPr>
        <w:spacing w:after="0" w:line="276" w:lineRule="auto"/>
        <w:contextualSpacing w:val="0"/>
        <w:jc w:val="both"/>
      </w:pPr>
      <w:r w:rsidRPr="00E1372F">
        <w:t xml:space="preserve">Tenants are responsible for conducting their own inspection of the property prior to the exchange completing and for making any agreements or arrangements regarding the condition of the property with the outgoing tenants. </w:t>
      </w:r>
    </w:p>
    <w:p w14:paraId="1FF79075" w14:textId="77777777" w:rsidR="00FA2552" w:rsidRDefault="00FA2552" w:rsidP="00FA2552">
      <w:pPr>
        <w:pStyle w:val="ListParagraph"/>
        <w:numPr>
          <w:ilvl w:val="2"/>
          <w:numId w:val="15"/>
        </w:numPr>
        <w:spacing w:after="0" w:line="276" w:lineRule="auto"/>
        <w:contextualSpacing w:val="0"/>
        <w:jc w:val="both"/>
      </w:pPr>
      <w:r w:rsidRPr="00E1372F">
        <w:t>Incoming Tenants agree to accept the condition of the property they are exchanging into.</w:t>
      </w:r>
      <w:r>
        <w:t xml:space="preserve"> There is no compulsion to accept a Mutual Exchange, as these homes are self-selected and not allocated. Either party may </w:t>
      </w:r>
      <w:proofErr w:type="spellStart"/>
      <w:proofErr w:type="gramStart"/>
      <w:r>
        <w:t>chose</w:t>
      </w:r>
      <w:proofErr w:type="spellEnd"/>
      <w:proofErr w:type="gramEnd"/>
      <w:r>
        <w:t xml:space="preserve"> to not go ahead with a Mutual Exchange at any time before the tenancy swap occurs. </w:t>
      </w:r>
      <w:r w:rsidRPr="00E1372F">
        <w:t xml:space="preserve"> </w:t>
      </w:r>
    </w:p>
    <w:p w14:paraId="50D22952" w14:textId="4603EF13" w:rsidR="00FA2552" w:rsidRDefault="00FA2552" w:rsidP="00FA2552">
      <w:pPr>
        <w:pStyle w:val="ListParagraph"/>
        <w:numPr>
          <w:ilvl w:val="2"/>
          <w:numId w:val="15"/>
        </w:numPr>
        <w:spacing w:after="0" w:line="276" w:lineRule="auto"/>
        <w:contextualSpacing w:val="0"/>
        <w:jc w:val="both"/>
      </w:pPr>
      <w:r w:rsidRPr="00FA2552">
        <w:t>Tenants must not move until they have signed the required paperwork to complete the exchange.</w:t>
      </w:r>
    </w:p>
    <w:p w14:paraId="38815234" w14:textId="77777777" w:rsidR="00955A8E" w:rsidRDefault="00955A8E" w:rsidP="00FA2552">
      <w:pPr>
        <w:pStyle w:val="Level1"/>
        <w:keepNext/>
        <w:numPr>
          <w:ilvl w:val="0"/>
          <w:numId w:val="0"/>
        </w:numPr>
        <w:spacing w:after="0"/>
        <w:rPr>
          <w:rStyle w:val="Level1asheadingtext"/>
          <w:b w:val="0"/>
          <w:sz w:val="22"/>
        </w:rPr>
      </w:pPr>
    </w:p>
    <w:p w14:paraId="52D804E7" w14:textId="03E5BDDE" w:rsidR="00FA2552" w:rsidRPr="00FA2552" w:rsidRDefault="00FA2552" w:rsidP="00FA2552">
      <w:pPr>
        <w:pStyle w:val="Level1"/>
        <w:keepNext/>
        <w:numPr>
          <w:ilvl w:val="0"/>
          <w:numId w:val="0"/>
        </w:numPr>
        <w:spacing w:after="0"/>
        <w:rPr>
          <w:rStyle w:val="Level1asheadingtext"/>
          <w:bCs/>
          <w:sz w:val="22"/>
        </w:rPr>
      </w:pPr>
      <w:r w:rsidRPr="00FA2552">
        <w:rPr>
          <w:rStyle w:val="Level1asheadingtext"/>
          <w:bCs/>
          <w:sz w:val="22"/>
        </w:rPr>
        <w:t>4.0 Applying for a Mutual Exchange</w:t>
      </w:r>
    </w:p>
    <w:p w14:paraId="7D708F6E" w14:textId="77777777" w:rsidR="00FA2552" w:rsidRPr="001B3EE0" w:rsidRDefault="00FA2552" w:rsidP="00FA2552">
      <w:pPr>
        <w:pStyle w:val="Level1"/>
        <w:keepNext/>
        <w:numPr>
          <w:ilvl w:val="0"/>
          <w:numId w:val="0"/>
        </w:numPr>
        <w:spacing w:after="0"/>
        <w:rPr>
          <w:rStyle w:val="Level1asheadingtext"/>
          <w:b w:val="0"/>
          <w:sz w:val="22"/>
        </w:rPr>
      </w:pPr>
    </w:p>
    <w:p w14:paraId="47127B75" w14:textId="77777777" w:rsidR="00FA2552" w:rsidRPr="00FA2552" w:rsidRDefault="00FA2552" w:rsidP="00FA2552">
      <w:pPr>
        <w:spacing w:after="0"/>
        <w:rPr>
          <w:rFonts w:ascii="Arial" w:hAnsi="Arial" w:cs="Arial"/>
        </w:rPr>
      </w:pPr>
      <w:r w:rsidRPr="00FA2552">
        <w:rPr>
          <w:rFonts w:ascii="Arial" w:hAnsi="Arial" w:cs="Arial"/>
        </w:rPr>
        <w:t xml:space="preserve">4.1 Secure tenants have the statutory right to assign their tenancy by way of mutual exchange. Assured tenants and Fixed Term Tenant also have the right to mutual exchange. </w:t>
      </w:r>
    </w:p>
    <w:p w14:paraId="2B1720A1" w14:textId="77777777" w:rsidR="00FA2552" w:rsidRPr="00FA2552" w:rsidRDefault="00FA2552" w:rsidP="00FA2552">
      <w:pPr>
        <w:spacing w:after="0"/>
        <w:rPr>
          <w:rFonts w:ascii="Arial" w:hAnsi="Arial" w:cs="Arial"/>
        </w:rPr>
      </w:pPr>
    </w:p>
    <w:p w14:paraId="314B9442" w14:textId="32A39DEB" w:rsidR="00FA2552" w:rsidRPr="00FA2552" w:rsidRDefault="00FA2552" w:rsidP="00FA2552">
      <w:pPr>
        <w:spacing w:after="0"/>
        <w:rPr>
          <w:rFonts w:ascii="Arial" w:hAnsi="Arial" w:cs="Arial"/>
        </w:rPr>
      </w:pPr>
      <w:r w:rsidRPr="00FA2552">
        <w:rPr>
          <w:rFonts w:ascii="Arial" w:hAnsi="Arial" w:cs="Arial"/>
        </w:rPr>
        <w:t xml:space="preserve">4.2 The following tenancy types are not eligible to mutual exchange: </w:t>
      </w:r>
    </w:p>
    <w:p w14:paraId="3B8384AA" w14:textId="77777777" w:rsidR="00FA2552" w:rsidRPr="00FA2552" w:rsidRDefault="00FA2552" w:rsidP="00FA2552">
      <w:pPr>
        <w:spacing w:after="0"/>
        <w:rPr>
          <w:rFonts w:ascii="Arial" w:hAnsi="Arial" w:cs="Arial"/>
        </w:rPr>
      </w:pPr>
    </w:p>
    <w:p w14:paraId="3F853BAF" w14:textId="77777777" w:rsidR="00FA2552" w:rsidRPr="00FA2552" w:rsidRDefault="00FA2552" w:rsidP="00FA2552">
      <w:pPr>
        <w:pStyle w:val="ListParagraph"/>
        <w:widowControl w:val="0"/>
        <w:numPr>
          <w:ilvl w:val="0"/>
          <w:numId w:val="17"/>
        </w:numPr>
        <w:autoSpaceDE w:val="0"/>
        <w:autoSpaceDN w:val="0"/>
        <w:spacing w:after="0" w:line="240" w:lineRule="auto"/>
        <w:contextualSpacing w:val="0"/>
        <w:rPr>
          <w:rFonts w:ascii="Arial" w:hAnsi="Arial" w:cs="Arial"/>
        </w:rPr>
      </w:pPr>
      <w:r w:rsidRPr="00FA2552">
        <w:rPr>
          <w:rFonts w:ascii="Arial" w:hAnsi="Arial" w:cs="Arial"/>
        </w:rPr>
        <w:t xml:space="preserve">Introductory or Starter Tenancies </w:t>
      </w:r>
    </w:p>
    <w:p w14:paraId="754F7ED0" w14:textId="77777777" w:rsidR="00FA2552" w:rsidRPr="00FA2552" w:rsidRDefault="00FA2552" w:rsidP="00FA2552">
      <w:pPr>
        <w:pStyle w:val="ListParagraph"/>
        <w:widowControl w:val="0"/>
        <w:numPr>
          <w:ilvl w:val="0"/>
          <w:numId w:val="17"/>
        </w:numPr>
        <w:autoSpaceDE w:val="0"/>
        <w:autoSpaceDN w:val="0"/>
        <w:spacing w:after="0" w:line="240" w:lineRule="auto"/>
        <w:contextualSpacing w:val="0"/>
        <w:rPr>
          <w:rFonts w:ascii="Arial" w:hAnsi="Arial" w:cs="Arial"/>
        </w:rPr>
      </w:pPr>
      <w:r w:rsidRPr="00FA2552">
        <w:rPr>
          <w:rFonts w:ascii="Arial" w:hAnsi="Arial" w:cs="Arial"/>
        </w:rPr>
        <w:t>Assured Shorthold Tenancies</w:t>
      </w:r>
    </w:p>
    <w:p w14:paraId="05C0F464" w14:textId="77777777" w:rsidR="00FA2552" w:rsidRPr="00FA2552" w:rsidRDefault="00FA2552" w:rsidP="00FA2552">
      <w:pPr>
        <w:pStyle w:val="ListParagraph"/>
        <w:widowControl w:val="0"/>
        <w:numPr>
          <w:ilvl w:val="0"/>
          <w:numId w:val="17"/>
        </w:numPr>
        <w:autoSpaceDE w:val="0"/>
        <w:autoSpaceDN w:val="0"/>
        <w:spacing w:after="0" w:line="240" w:lineRule="auto"/>
        <w:contextualSpacing w:val="0"/>
        <w:rPr>
          <w:rFonts w:ascii="Arial" w:hAnsi="Arial" w:cs="Arial"/>
        </w:rPr>
      </w:pPr>
      <w:r w:rsidRPr="00FA2552">
        <w:rPr>
          <w:rFonts w:ascii="Arial" w:hAnsi="Arial" w:cs="Arial"/>
        </w:rPr>
        <w:t>Use and Occupation or any other Temporary Tenancies</w:t>
      </w:r>
    </w:p>
    <w:p w14:paraId="566C597F" w14:textId="77777777" w:rsidR="00FA2552" w:rsidRPr="00FA2552" w:rsidRDefault="00FA2552" w:rsidP="00FA2552">
      <w:pPr>
        <w:pStyle w:val="ListParagraph"/>
        <w:widowControl w:val="0"/>
        <w:numPr>
          <w:ilvl w:val="0"/>
          <w:numId w:val="17"/>
        </w:numPr>
        <w:autoSpaceDE w:val="0"/>
        <w:autoSpaceDN w:val="0"/>
        <w:spacing w:after="0" w:line="240" w:lineRule="auto"/>
        <w:contextualSpacing w:val="0"/>
        <w:rPr>
          <w:rFonts w:ascii="Arial" w:hAnsi="Arial" w:cs="Arial"/>
        </w:rPr>
      </w:pPr>
      <w:r w:rsidRPr="00FA2552">
        <w:rPr>
          <w:rFonts w:ascii="Arial" w:hAnsi="Arial" w:cs="Arial"/>
        </w:rPr>
        <w:t xml:space="preserve">Licensees </w:t>
      </w:r>
    </w:p>
    <w:p w14:paraId="15B24DAF" w14:textId="77777777" w:rsidR="00FA2552" w:rsidRPr="00FA2552" w:rsidRDefault="00FA2552" w:rsidP="00FA2552">
      <w:pPr>
        <w:pStyle w:val="ListParagraph"/>
        <w:widowControl w:val="0"/>
        <w:numPr>
          <w:ilvl w:val="0"/>
          <w:numId w:val="17"/>
        </w:numPr>
        <w:autoSpaceDE w:val="0"/>
        <w:autoSpaceDN w:val="0"/>
        <w:spacing w:after="0" w:line="240" w:lineRule="auto"/>
        <w:contextualSpacing w:val="0"/>
        <w:rPr>
          <w:rFonts w:ascii="Arial" w:hAnsi="Arial" w:cs="Arial"/>
        </w:rPr>
      </w:pPr>
      <w:r w:rsidRPr="00FA2552">
        <w:rPr>
          <w:rFonts w:ascii="Arial" w:hAnsi="Arial" w:cs="Arial"/>
        </w:rPr>
        <w:t xml:space="preserve">Intermediate Market Rent Tenancies </w:t>
      </w:r>
    </w:p>
    <w:p w14:paraId="745ADF4E" w14:textId="77777777" w:rsidR="00FA2552" w:rsidRPr="00FA2552" w:rsidRDefault="00FA2552" w:rsidP="00FA2552">
      <w:pPr>
        <w:pStyle w:val="ListParagraph"/>
        <w:widowControl w:val="0"/>
        <w:numPr>
          <w:ilvl w:val="0"/>
          <w:numId w:val="17"/>
        </w:numPr>
        <w:autoSpaceDE w:val="0"/>
        <w:autoSpaceDN w:val="0"/>
        <w:spacing w:after="0" w:line="240" w:lineRule="auto"/>
        <w:contextualSpacing w:val="0"/>
        <w:rPr>
          <w:rFonts w:ascii="Arial" w:hAnsi="Arial" w:cs="Arial"/>
        </w:rPr>
      </w:pPr>
      <w:r w:rsidRPr="00FA2552">
        <w:rPr>
          <w:rFonts w:ascii="Arial" w:hAnsi="Arial" w:cs="Arial"/>
        </w:rPr>
        <w:t xml:space="preserve">Leaseholders / Shared Owners </w:t>
      </w:r>
    </w:p>
    <w:p w14:paraId="5D359E08" w14:textId="77777777" w:rsidR="00FA2552" w:rsidRPr="00FA2552" w:rsidRDefault="00FA2552" w:rsidP="00FA2552">
      <w:pPr>
        <w:spacing w:after="0"/>
        <w:rPr>
          <w:rFonts w:ascii="Arial" w:hAnsi="Arial" w:cs="Arial"/>
        </w:rPr>
      </w:pPr>
    </w:p>
    <w:p w14:paraId="6CFC8BEB" w14:textId="0F670C98" w:rsidR="00FA2552" w:rsidRPr="00FA2552" w:rsidRDefault="00FA2552" w:rsidP="00FA2552">
      <w:pPr>
        <w:pStyle w:val="ListParagraph"/>
        <w:numPr>
          <w:ilvl w:val="1"/>
          <w:numId w:val="19"/>
        </w:numPr>
        <w:spacing w:after="0" w:line="276" w:lineRule="auto"/>
        <w:jc w:val="both"/>
        <w:rPr>
          <w:rFonts w:ascii="Arial" w:hAnsi="Arial" w:cs="Arial"/>
        </w:rPr>
      </w:pPr>
      <w:r w:rsidRPr="00FA2552">
        <w:rPr>
          <w:rFonts w:ascii="Arial" w:hAnsi="Arial" w:cs="Arial"/>
        </w:rPr>
        <w:t>Mutual exchanges between two or more parties can be UK wide. Tenants who are eligible to exchange can do so with another eligible West Kent tenant, a tenant of another registered social housing provider, or a local authority tenant.</w:t>
      </w:r>
    </w:p>
    <w:p w14:paraId="2BEC2E24" w14:textId="77777777" w:rsidR="00FA2552" w:rsidRPr="00FA2552" w:rsidRDefault="00FA2552" w:rsidP="00FA2552">
      <w:pPr>
        <w:pStyle w:val="ListParagraph"/>
        <w:spacing w:after="0" w:line="276" w:lineRule="auto"/>
        <w:ind w:left="360"/>
        <w:jc w:val="both"/>
        <w:rPr>
          <w:rFonts w:ascii="Arial" w:hAnsi="Arial" w:cs="Arial"/>
        </w:rPr>
      </w:pPr>
    </w:p>
    <w:p w14:paraId="2F90AF9B" w14:textId="0973823D" w:rsidR="00FA2552" w:rsidRPr="00FA2552" w:rsidRDefault="00FA2552" w:rsidP="00FA2552">
      <w:pPr>
        <w:pStyle w:val="ListParagraph"/>
        <w:numPr>
          <w:ilvl w:val="1"/>
          <w:numId w:val="19"/>
        </w:numPr>
        <w:spacing w:after="0" w:line="276" w:lineRule="auto"/>
        <w:jc w:val="both"/>
        <w:rPr>
          <w:rFonts w:ascii="Arial" w:hAnsi="Arial" w:cs="Arial"/>
        </w:rPr>
      </w:pPr>
      <w:r w:rsidRPr="00FA2552">
        <w:rPr>
          <w:rFonts w:ascii="Arial" w:hAnsi="Arial" w:cs="Arial"/>
        </w:rPr>
        <w:t xml:space="preserve">Once a tenant has found another tenant, they wish to exchange properties with, each tenant involved in the swap will need to complete and submit a Mutual Exchange Application Form via </w:t>
      </w:r>
      <w:proofErr w:type="spellStart"/>
      <w:r w:rsidRPr="00FA2552">
        <w:rPr>
          <w:rFonts w:ascii="Arial" w:hAnsi="Arial" w:cs="Arial"/>
        </w:rPr>
        <w:t>SwapTracker</w:t>
      </w:r>
      <w:proofErr w:type="spellEnd"/>
      <w:r w:rsidRPr="00FA2552">
        <w:rPr>
          <w:rFonts w:ascii="Arial" w:hAnsi="Arial" w:cs="Arial"/>
        </w:rPr>
        <w:t>. Once all applications are received, we will consider each application and provide a written decision within 42 days of receipt. During these 42 days, West Kent will carry out the required checks to ensure all parties are eligible and do not meet any of the grounds for refusal.</w:t>
      </w:r>
    </w:p>
    <w:p w14:paraId="04B86531" w14:textId="5CADA340" w:rsidR="00955A8E" w:rsidRDefault="00955A8E" w:rsidP="00FA2552">
      <w:pPr>
        <w:pStyle w:val="Level2"/>
        <w:numPr>
          <w:ilvl w:val="0"/>
          <w:numId w:val="0"/>
        </w:numPr>
        <w:ind w:left="992" w:hanging="992"/>
        <w:rPr>
          <w:sz w:val="22"/>
        </w:rPr>
      </w:pPr>
    </w:p>
    <w:p w14:paraId="6DC2A598" w14:textId="21F7BEDD" w:rsidR="00955A8E" w:rsidRPr="00955A8E" w:rsidRDefault="00FA2552" w:rsidP="00FA2552">
      <w:pPr>
        <w:pStyle w:val="Level1"/>
        <w:keepNext/>
        <w:numPr>
          <w:ilvl w:val="0"/>
          <w:numId w:val="20"/>
        </w:numPr>
        <w:spacing w:after="0"/>
        <w:rPr>
          <w:rStyle w:val="Level1asheadingtext"/>
          <w:b w:val="0"/>
          <w:sz w:val="22"/>
        </w:rPr>
      </w:pPr>
      <w:r>
        <w:rPr>
          <w:rStyle w:val="Level1asheadingtext"/>
          <w:sz w:val="22"/>
        </w:rPr>
        <w:t>Property Condition &amp; Tenant Improvements</w:t>
      </w:r>
    </w:p>
    <w:p w14:paraId="5F57B93E" w14:textId="77777777" w:rsidR="00955A8E" w:rsidRPr="001B3EE0" w:rsidRDefault="00955A8E" w:rsidP="00955A8E">
      <w:pPr>
        <w:pStyle w:val="Level1"/>
        <w:keepNext/>
        <w:numPr>
          <w:ilvl w:val="0"/>
          <w:numId w:val="0"/>
        </w:numPr>
        <w:spacing w:after="0"/>
        <w:ind w:left="425"/>
        <w:rPr>
          <w:rStyle w:val="Level1asheadingtext"/>
          <w:b w:val="0"/>
          <w:sz w:val="22"/>
        </w:rPr>
      </w:pPr>
    </w:p>
    <w:p w14:paraId="15493DA4" w14:textId="4ADEFE7A" w:rsidR="00FA2552" w:rsidRPr="00D511B4" w:rsidRDefault="00FA2552" w:rsidP="00FA2552">
      <w:pPr>
        <w:pStyle w:val="BodyText"/>
        <w:ind w:right="489"/>
        <w:rPr>
          <w:rFonts w:ascii="Arial" w:hAnsi="Arial" w:cs="Arial"/>
          <w:sz w:val="22"/>
          <w:szCs w:val="22"/>
        </w:rPr>
      </w:pPr>
      <w:r w:rsidRPr="00FA2552">
        <w:rPr>
          <w:rFonts w:ascii="Arial" w:hAnsi="Arial" w:cs="Arial"/>
          <w:sz w:val="22"/>
        </w:rPr>
        <w:t>5.1</w:t>
      </w:r>
      <w:r>
        <w:rPr>
          <w:sz w:val="22"/>
        </w:rPr>
        <w:t xml:space="preserve"> </w:t>
      </w:r>
      <w:r w:rsidRPr="00D511B4">
        <w:rPr>
          <w:rFonts w:ascii="Arial" w:hAnsi="Arial" w:cs="Arial"/>
          <w:sz w:val="22"/>
          <w:szCs w:val="22"/>
        </w:rPr>
        <w:t xml:space="preserve">Tenants are responsible for carrying out their own inspection of the property prior to the exchange and for making any agreements or arrangements regarding the condition </w:t>
      </w:r>
      <w:r w:rsidRPr="00D511B4">
        <w:rPr>
          <w:rFonts w:ascii="Arial" w:hAnsi="Arial" w:cs="Arial"/>
          <w:sz w:val="22"/>
          <w:szCs w:val="22"/>
        </w:rPr>
        <w:lastRenderedPageBreak/>
        <w:t>of the property with the outgoing tenant.</w:t>
      </w:r>
    </w:p>
    <w:p w14:paraId="0C3A1CD8" w14:textId="77777777" w:rsidR="00FA2552" w:rsidRDefault="00FA2552" w:rsidP="00FA2552">
      <w:pPr>
        <w:pStyle w:val="BodyText"/>
        <w:ind w:right="489"/>
        <w:rPr>
          <w:rFonts w:ascii="Arial" w:hAnsi="Arial" w:cs="Arial"/>
          <w:sz w:val="22"/>
          <w:szCs w:val="22"/>
        </w:rPr>
      </w:pPr>
    </w:p>
    <w:p w14:paraId="3186E07F" w14:textId="77777777" w:rsidR="00FA2552" w:rsidRDefault="00FA2552" w:rsidP="00FA2552">
      <w:pPr>
        <w:pStyle w:val="BodyText"/>
        <w:numPr>
          <w:ilvl w:val="1"/>
          <w:numId w:val="22"/>
        </w:numPr>
        <w:ind w:right="489"/>
        <w:rPr>
          <w:rFonts w:ascii="Arial" w:hAnsi="Arial" w:cs="Arial"/>
          <w:sz w:val="22"/>
          <w:szCs w:val="22"/>
        </w:rPr>
      </w:pPr>
      <w:r w:rsidRPr="00D511B4">
        <w:rPr>
          <w:rFonts w:ascii="Arial" w:hAnsi="Arial" w:cs="Arial"/>
          <w:sz w:val="22"/>
          <w:szCs w:val="22"/>
        </w:rPr>
        <w:t>Incoming tenants agree to accept the condition of the property they are exchanging into.</w:t>
      </w:r>
    </w:p>
    <w:p w14:paraId="5B022A83" w14:textId="77777777" w:rsidR="00FA2552" w:rsidRDefault="00FA2552" w:rsidP="00FA2552">
      <w:pPr>
        <w:pStyle w:val="BodyText"/>
        <w:numPr>
          <w:ilvl w:val="1"/>
          <w:numId w:val="22"/>
        </w:numPr>
        <w:ind w:right="489"/>
        <w:rPr>
          <w:rFonts w:ascii="Arial" w:hAnsi="Arial" w:cs="Arial"/>
          <w:sz w:val="22"/>
          <w:szCs w:val="22"/>
        </w:rPr>
      </w:pPr>
      <w:r w:rsidRPr="00FA2552">
        <w:rPr>
          <w:rFonts w:ascii="Arial" w:hAnsi="Arial" w:cs="Arial"/>
          <w:sz w:val="22"/>
          <w:szCs w:val="22"/>
        </w:rPr>
        <w:t>Incoming tenants will become responsible for the repairs/replacements of any alterations or improvements carried out by the previous tenant(s), as well as any gifted items.</w:t>
      </w:r>
    </w:p>
    <w:p w14:paraId="488959F2" w14:textId="77777777" w:rsidR="00FA2552" w:rsidRDefault="00FA2552" w:rsidP="00FA2552">
      <w:pPr>
        <w:pStyle w:val="BodyText"/>
        <w:numPr>
          <w:ilvl w:val="1"/>
          <w:numId w:val="22"/>
        </w:numPr>
        <w:ind w:right="489"/>
        <w:rPr>
          <w:rFonts w:ascii="Arial" w:hAnsi="Arial" w:cs="Arial"/>
          <w:sz w:val="22"/>
          <w:szCs w:val="22"/>
        </w:rPr>
      </w:pPr>
      <w:r w:rsidRPr="00FA2552">
        <w:rPr>
          <w:rFonts w:ascii="Arial" w:hAnsi="Arial" w:cs="Arial"/>
          <w:sz w:val="22"/>
          <w:szCs w:val="22"/>
        </w:rPr>
        <w:t>Incoming tenants will take responsibility for all repairs that we consider to be tenant repair obligations that were not completed by the outgoing tenant</w:t>
      </w:r>
    </w:p>
    <w:p w14:paraId="0C53DA85" w14:textId="77777777" w:rsidR="00FA2552" w:rsidRDefault="00FA2552" w:rsidP="00FA2552">
      <w:pPr>
        <w:pStyle w:val="BodyText"/>
        <w:numPr>
          <w:ilvl w:val="1"/>
          <w:numId w:val="22"/>
        </w:numPr>
        <w:ind w:right="489"/>
        <w:rPr>
          <w:rFonts w:ascii="Arial" w:hAnsi="Arial" w:cs="Arial"/>
          <w:sz w:val="22"/>
          <w:szCs w:val="22"/>
        </w:rPr>
      </w:pPr>
      <w:r w:rsidRPr="00FA2552">
        <w:rPr>
          <w:rFonts w:ascii="Arial" w:hAnsi="Arial" w:cs="Arial"/>
          <w:sz w:val="22"/>
          <w:szCs w:val="22"/>
        </w:rPr>
        <w:t>We</w:t>
      </w:r>
      <w:r w:rsidRPr="00FA2552">
        <w:rPr>
          <w:rFonts w:ascii="Arial" w:hAnsi="Arial" w:cs="Arial"/>
          <w:spacing w:val="-11"/>
          <w:sz w:val="22"/>
          <w:szCs w:val="22"/>
        </w:rPr>
        <w:t xml:space="preserve"> </w:t>
      </w:r>
      <w:r w:rsidRPr="00FA2552">
        <w:rPr>
          <w:rFonts w:ascii="Arial" w:hAnsi="Arial" w:cs="Arial"/>
          <w:sz w:val="22"/>
          <w:szCs w:val="22"/>
        </w:rPr>
        <w:t>will</w:t>
      </w:r>
      <w:r w:rsidRPr="00FA2552">
        <w:rPr>
          <w:rFonts w:ascii="Arial" w:hAnsi="Arial" w:cs="Arial"/>
          <w:spacing w:val="-11"/>
          <w:sz w:val="22"/>
          <w:szCs w:val="22"/>
        </w:rPr>
        <w:t xml:space="preserve"> </w:t>
      </w:r>
      <w:r w:rsidRPr="00FA2552">
        <w:rPr>
          <w:rFonts w:ascii="Arial" w:hAnsi="Arial" w:cs="Arial"/>
          <w:sz w:val="22"/>
          <w:szCs w:val="22"/>
        </w:rPr>
        <w:t>assess</w:t>
      </w:r>
      <w:r w:rsidRPr="00FA2552">
        <w:rPr>
          <w:rFonts w:ascii="Arial" w:hAnsi="Arial" w:cs="Arial"/>
          <w:spacing w:val="-11"/>
          <w:sz w:val="22"/>
          <w:szCs w:val="22"/>
        </w:rPr>
        <w:t xml:space="preserve"> </w:t>
      </w:r>
      <w:r w:rsidRPr="00FA2552">
        <w:rPr>
          <w:rFonts w:ascii="Arial" w:hAnsi="Arial" w:cs="Arial"/>
          <w:sz w:val="22"/>
          <w:szCs w:val="22"/>
        </w:rPr>
        <w:t>any</w:t>
      </w:r>
      <w:r w:rsidRPr="00FA2552">
        <w:rPr>
          <w:rFonts w:ascii="Arial" w:hAnsi="Arial" w:cs="Arial"/>
          <w:spacing w:val="-11"/>
          <w:sz w:val="22"/>
          <w:szCs w:val="22"/>
        </w:rPr>
        <w:t xml:space="preserve"> </w:t>
      </w:r>
      <w:r w:rsidRPr="00FA2552">
        <w:rPr>
          <w:rFonts w:ascii="Arial" w:hAnsi="Arial" w:cs="Arial"/>
          <w:sz w:val="22"/>
          <w:szCs w:val="22"/>
        </w:rPr>
        <w:t>requests</w:t>
      </w:r>
      <w:r w:rsidRPr="00FA2552">
        <w:rPr>
          <w:rFonts w:ascii="Arial" w:hAnsi="Arial" w:cs="Arial"/>
          <w:spacing w:val="-11"/>
          <w:sz w:val="22"/>
          <w:szCs w:val="22"/>
        </w:rPr>
        <w:t xml:space="preserve"> </w:t>
      </w:r>
      <w:r w:rsidRPr="00FA2552">
        <w:rPr>
          <w:rFonts w:ascii="Arial" w:hAnsi="Arial" w:cs="Arial"/>
          <w:sz w:val="22"/>
          <w:szCs w:val="22"/>
        </w:rPr>
        <w:t>for</w:t>
      </w:r>
      <w:r w:rsidRPr="00FA2552">
        <w:rPr>
          <w:rFonts w:ascii="Arial" w:hAnsi="Arial" w:cs="Arial"/>
          <w:spacing w:val="-11"/>
          <w:sz w:val="22"/>
          <w:szCs w:val="22"/>
        </w:rPr>
        <w:t xml:space="preserve"> </w:t>
      </w:r>
      <w:r w:rsidRPr="00FA2552">
        <w:rPr>
          <w:rFonts w:ascii="Arial" w:hAnsi="Arial" w:cs="Arial"/>
          <w:sz w:val="22"/>
          <w:szCs w:val="22"/>
        </w:rPr>
        <w:t>repairs</w:t>
      </w:r>
      <w:r w:rsidRPr="00FA2552">
        <w:rPr>
          <w:rFonts w:ascii="Arial" w:hAnsi="Arial" w:cs="Arial"/>
          <w:spacing w:val="-11"/>
          <w:sz w:val="22"/>
          <w:szCs w:val="22"/>
        </w:rPr>
        <w:t xml:space="preserve"> </w:t>
      </w:r>
      <w:r w:rsidRPr="00FA2552">
        <w:rPr>
          <w:rFonts w:ascii="Arial" w:hAnsi="Arial" w:cs="Arial"/>
          <w:sz w:val="22"/>
          <w:szCs w:val="22"/>
        </w:rPr>
        <w:t>or</w:t>
      </w:r>
      <w:r w:rsidRPr="00FA2552">
        <w:rPr>
          <w:rFonts w:ascii="Arial" w:hAnsi="Arial" w:cs="Arial"/>
          <w:spacing w:val="-11"/>
          <w:sz w:val="22"/>
          <w:szCs w:val="22"/>
        </w:rPr>
        <w:t xml:space="preserve"> </w:t>
      </w:r>
      <w:r w:rsidRPr="00FA2552">
        <w:rPr>
          <w:rFonts w:ascii="Arial" w:hAnsi="Arial" w:cs="Arial"/>
          <w:sz w:val="22"/>
          <w:szCs w:val="22"/>
        </w:rPr>
        <w:t>replacements</w:t>
      </w:r>
      <w:r w:rsidRPr="00FA2552">
        <w:rPr>
          <w:rFonts w:ascii="Arial" w:hAnsi="Arial" w:cs="Arial"/>
          <w:spacing w:val="-11"/>
          <w:sz w:val="22"/>
          <w:szCs w:val="22"/>
        </w:rPr>
        <w:t xml:space="preserve"> </w:t>
      </w:r>
      <w:r w:rsidRPr="00FA2552">
        <w:rPr>
          <w:rFonts w:ascii="Arial" w:hAnsi="Arial" w:cs="Arial"/>
          <w:sz w:val="22"/>
          <w:szCs w:val="22"/>
        </w:rPr>
        <w:t>to</w:t>
      </w:r>
      <w:r w:rsidRPr="00FA2552">
        <w:rPr>
          <w:rFonts w:ascii="Arial" w:hAnsi="Arial" w:cs="Arial"/>
          <w:spacing w:val="-11"/>
          <w:sz w:val="22"/>
          <w:szCs w:val="22"/>
        </w:rPr>
        <w:t xml:space="preserve"> </w:t>
      </w:r>
      <w:r w:rsidRPr="00FA2552">
        <w:rPr>
          <w:rFonts w:ascii="Arial" w:hAnsi="Arial" w:cs="Arial"/>
          <w:sz w:val="22"/>
          <w:szCs w:val="22"/>
        </w:rPr>
        <w:t>any</w:t>
      </w:r>
      <w:r w:rsidRPr="00FA2552">
        <w:rPr>
          <w:rFonts w:ascii="Arial" w:hAnsi="Arial" w:cs="Arial"/>
          <w:spacing w:val="-11"/>
          <w:sz w:val="22"/>
          <w:szCs w:val="22"/>
        </w:rPr>
        <w:t xml:space="preserve"> </w:t>
      </w:r>
      <w:r w:rsidRPr="00FA2552">
        <w:rPr>
          <w:rFonts w:ascii="Arial" w:hAnsi="Arial" w:cs="Arial"/>
          <w:sz w:val="22"/>
          <w:szCs w:val="22"/>
        </w:rPr>
        <w:t>previous</w:t>
      </w:r>
      <w:r w:rsidRPr="00FA2552">
        <w:rPr>
          <w:rFonts w:ascii="Arial" w:hAnsi="Arial" w:cs="Arial"/>
          <w:spacing w:val="-11"/>
          <w:sz w:val="22"/>
          <w:szCs w:val="22"/>
        </w:rPr>
        <w:t xml:space="preserve"> </w:t>
      </w:r>
      <w:r w:rsidRPr="00FA2552">
        <w:rPr>
          <w:rFonts w:ascii="Arial" w:hAnsi="Arial" w:cs="Arial"/>
          <w:sz w:val="22"/>
          <w:szCs w:val="22"/>
        </w:rPr>
        <w:t>tenant</w:t>
      </w:r>
      <w:r w:rsidRPr="00FA2552">
        <w:rPr>
          <w:rFonts w:ascii="Arial" w:hAnsi="Arial" w:cs="Arial"/>
          <w:spacing w:val="-11"/>
          <w:sz w:val="22"/>
          <w:szCs w:val="22"/>
        </w:rPr>
        <w:t xml:space="preserve"> </w:t>
      </w:r>
      <w:r w:rsidRPr="00FA2552">
        <w:rPr>
          <w:rFonts w:ascii="Arial" w:hAnsi="Arial" w:cs="Arial"/>
          <w:sz w:val="22"/>
          <w:szCs w:val="22"/>
        </w:rPr>
        <w:t>improvements on a case-by-case basis.</w:t>
      </w:r>
    </w:p>
    <w:p w14:paraId="474761C1" w14:textId="77777777" w:rsidR="00FA2552" w:rsidRDefault="00FA2552" w:rsidP="00FA2552">
      <w:pPr>
        <w:pStyle w:val="BodyText"/>
        <w:numPr>
          <w:ilvl w:val="1"/>
          <w:numId w:val="22"/>
        </w:numPr>
        <w:ind w:right="489"/>
        <w:rPr>
          <w:rFonts w:ascii="Arial" w:hAnsi="Arial" w:cs="Arial"/>
          <w:sz w:val="22"/>
          <w:szCs w:val="22"/>
        </w:rPr>
      </w:pPr>
      <w:r w:rsidRPr="00FA2552">
        <w:rPr>
          <w:rFonts w:ascii="Arial" w:hAnsi="Arial" w:cs="Arial"/>
          <w:sz w:val="22"/>
          <w:szCs w:val="22"/>
        </w:rPr>
        <w:t xml:space="preserve">Any structural alterations made to the property will require permission from West Kent before approval for the exchange can be given. </w:t>
      </w:r>
    </w:p>
    <w:p w14:paraId="307D88B5" w14:textId="4B34E524" w:rsidR="00FA2552" w:rsidRPr="00FA2552" w:rsidRDefault="00FA2552" w:rsidP="00FA2552">
      <w:pPr>
        <w:pStyle w:val="BodyText"/>
        <w:numPr>
          <w:ilvl w:val="1"/>
          <w:numId w:val="22"/>
        </w:numPr>
        <w:ind w:right="489"/>
        <w:rPr>
          <w:rFonts w:ascii="Arial" w:hAnsi="Arial" w:cs="Arial"/>
          <w:sz w:val="22"/>
          <w:szCs w:val="22"/>
        </w:rPr>
      </w:pPr>
      <w:r w:rsidRPr="00FA2552">
        <w:rPr>
          <w:rFonts w:ascii="Arial" w:hAnsi="Arial" w:cs="Arial"/>
          <w:sz w:val="22"/>
          <w:szCs w:val="22"/>
        </w:rPr>
        <w:t xml:space="preserve">A proposed Mutual Exchange that is due to take place in a property which displays upon inspection “neglect or damage to the property or communal areas”, but for which no current Notice of Seeking Possession (NOSP) is in place, would be referred promptly to the </w:t>
      </w:r>
      <w:proofErr w:type="spellStart"/>
      <w:r w:rsidRPr="00FA2552">
        <w:rPr>
          <w:rFonts w:ascii="Arial" w:hAnsi="Arial" w:cs="Arial"/>
          <w:sz w:val="22"/>
          <w:szCs w:val="22"/>
        </w:rPr>
        <w:t>Neighbourhood</w:t>
      </w:r>
      <w:proofErr w:type="spellEnd"/>
      <w:r w:rsidRPr="00FA2552">
        <w:rPr>
          <w:rFonts w:ascii="Arial" w:hAnsi="Arial" w:cs="Arial"/>
          <w:sz w:val="22"/>
          <w:szCs w:val="22"/>
        </w:rPr>
        <w:t xml:space="preserve"> Housing Team, to consider whether a NOSP is required. </w:t>
      </w:r>
    </w:p>
    <w:p w14:paraId="100D6AB0" w14:textId="77777777" w:rsidR="00955A8E" w:rsidRDefault="00955A8E" w:rsidP="00955A8E">
      <w:pPr>
        <w:pStyle w:val="Level1"/>
        <w:numPr>
          <w:ilvl w:val="0"/>
          <w:numId w:val="0"/>
        </w:numPr>
        <w:ind w:left="992" w:hanging="992"/>
        <w:rPr>
          <w:sz w:val="22"/>
        </w:rPr>
      </w:pPr>
    </w:p>
    <w:p w14:paraId="3697634F" w14:textId="5EF5F445" w:rsidR="00955A8E" w:rsidRPr="00955A8E" w:rsidRDefault="00FA2552" w:rsidP="00FA2552">
      <w:pPr>
        <w:pStyle w:val="Level1"/>
        <w:keepNext/>
        <w:numPr>
          <w:ilvl w:val="0"/>
          <w:numId w:val="23"/>
        </w:numPr>
        <w:spacing w:after="0"/>
        <w:rPr>
          <w:rStyle w:val="Level1asheadingtext"/>
          <w:b w:val="0"/>
          <w:sz w:val="22"/>
        </w:rPr>
      </w:pPr>
      <w:r>
        <w:rPr>
          <w:rStyle w:val="Level1asheadingtext"/>
          <w:sz w:val="22"/>
        </w:rPr>
        <w:t>Decision</w:t>
      </w:r>
    </w:p>
    <w:p w14:paraId="68C9951B" w14:textId="77777777" w:rsidR="00955A8E" w:rsidRPr="001B3EE0" w:rsidRDefault="00955A8E" w:rsidP="00955A8E">
      <w:pPr>
        <w:pStyle w:val="Level1"/>
        <w:keepNext/>
        <w:numPr>
          <w:ilvl w:val="0"/>
          <w:numId w:val="0"/>
        </w:numPr>
        <w:spacing w:after="0"/>
        <w:ind w:left="425"/>
        <w:rPr>
          <w:rStyle w:val="Level1asheadingtext"/>
          <w:b w:val="0"/>
          <w:sz w:val="22"/>
        </w:rPr>
      </w:pPr>
    </w:p>
    <w:p w14:paraId="6D4E2176" w14:textId="77777777" w:rsidR="00FA2552" w:rsidRPr="00FA2552" w:rsidRDefault="00FA2552" w:rsidP="00FA2552">
      <w:pPr>
        <w:pStyle w:val="Level2"/>
        <w:numPr>
          <w:ilvl w:val="0"/>
          <w:numId w:val="0"/>
        </w:numPr>
        <w:rPr>
          <w:sz w:val="22"/>
        </w:rPr>
      </w:pPr>
      <w:r>
        <w:rPr>
          <w:sz w:val="22"/>
        </w:rPr>
        <w:t xml:space="preserve">6.1 </w:t>
      </w:r>
      <w:r w:rsidRPr="00FA2552">
        <w:rPr>
          <w:sz w:val="22"/>
        </w:rPr>
        <w:t xml:space="preserve">Tenants will be notified whether approval has been granted within 42 calendar days of all applications involved in the exchange being received. </w:t>
      </w:r>
    </w:p>
    <w:p w14:paraId="20463E7F" w14:textId="30F3076E" w:rsidR="00FA2552" w:rsidRPr="00FA2552" w:rsidRDefault="00FA2552" w:rsidP="00FA2552">
      <w:pPr>
        <w:pStyle w:val="Level2"/>
        <w:numPr>
          <w:ilvl w:val="0"/>
          <w:numId w:val="0"/>
        </w:numPr>
        <w:rPr>
          <w:sz w:val="22"/>
        </w:rPr>
      </w:pPr>
      <w:r>
        <w:rPr>
          <w:sz w:val="22"/>
        </w:rPr>
        <w:t xml:space="preserve">6.2 </w:t>
      </w:r>
      <w:r w:rsidRPr="00FA2552">
        <w:rPr>
          <w:sz w:val="22"/>
        </w:rPr>
        <w:t>Consent to a mutual exchange can be conditionally approved until rent arrears are cleared or a breach of tenancy has been remedied (e.g., damage to the property repaired).</w:t>
      </w:r>
    </w:p>
    <w:p w14:paraId="41D85039" w14:textId="07A52C96" w:rsidR="00FA2552" w:rsidRPr="00FA2552" w:rsidRDefault="00FA2552" w:rsidP="00FA2552">
      <w:pPr>
        <w:pStyle w:val="Level2"/>
        <w:numPr>
          <w:ilvl w:val="0"/>
          <w:numId w:val="0"/>
        </w:numPr>
        <w:rPr>
          <w:sz w:val="22"/>
        </w:rPr>
      </w:pPr>
      <w:r>
        <w:rPr>
          <w:sz w:val="22"/>
        </w:rPr>
        <w:t>6</w:t>
      </w:r>
      <w:r w:rsidRPr="00FA2552">
        <w:rPr>
          <w:sz w:val="22"/>
        </w:rPr>
        <w:t>.2 Consent to a request for a mutual exchange can only be refused if one or more of the grounds contained in the following apply:</w:t>
      </w:r>
    </w:p>
    <w:p w14:paraId="228A7C7E" w14:textId="7326BF8B" w:rsidR="00FA2552" w:rsidRPr="00FA2552" w:rsidRDefault="00FA2552" w:rsidP="00FA2552">
      <w:pPr>
        <w:pStyle w:val="Level2"/>
        <w:numPr>
          <w:ilvl w:val="0"/>
          <w:numId w:val="0"/>
        </w:numPr>
        <w:ind w:left="1712" w:hanging="992"/>
        <w:rPr>
          <w:sz w:val="22"/>
        </w:rPr>
      </w:pPr>
      <w:r w:rsidRPr="00FA2552">
        <w:rPr>
          <w:sz w:val="22"/>
        </w:rPr>
        <w:t>A.</w:t>
      </w:r>
      <w:r>
        <w:rPr>
          <w:sz w:val="22"/>
        </w:rPr>
        <w:t xml:space="preserve"> </w:t>
      </w:r>
      <w:r w:rsidRPr="00FA2552">
        <w:rPr>
          <w:sz w:val="22"/>
        </w:rPr>
        <w:t>Schedule 3 of the Housing Act 1985</w:t>
      </w:r>
    </w:p>
    <w:p w14:paraId="35D6A2D3" w14:textId="775525E7" w:rsidR="00FA2552" w:rsidRPr="00FA2552" w:rsidRDefault="00FA2552" w:rsidP="00FA2552">
      <w:pPr>
        <w:pStyle w:val="Level2"/>
        <w:numPr>
          <w:ilvl w:val="0"/>
          <w:numId w:val="0"/>
        </w:numPr>
        <w:ind w:left="1712" w:hanging="992"/>
        <w:rPr>
          <w:sz w:val="22"/>
        </w:rPr>
      </w:pPr>
      <w:r w:rsidRPr="00FA2552">
        <w:rPr>
          <w:sz w:val="22"/>
        </w:rPr>
        <w:t>B.</w:t>
      </w:r>
      <w:r>
        <w:rPr>
          <w:sz w:val="22"/>
        </w:rPr>
        <w:t xml:space="preserve"> </w:t>
      </w:r>
      <w:r w:rsidRPr="00FA2552">
        <w:rPr>
          <w:sz w:val="22"/>
        </w:rPr>
        <w:t>Additional ground inserted by the Housing Act 2004</w:t>
      </w:r>
    </w:p>
    <w:p w14:paraId="06314336" w14:textId="189C0CA6" w:rsidR="00FA2552" w:rsidRPr="00FA2552" w:rsidRDefault="00FA2552" w:rsidP="00FA2552">
      <w:pPr>
        <w:pStyle w:val="Level2"/>
        <w:numPr>
          <w:ilvl w:val="0"/>
          <w:numId w:val="0"/>
        </w:numPr>
        <w:ind w:left="1712" w:hanging="992"/>
        <w:rPr>
          <w:sz w:val="22"/>
        </w:rPr>
      </w:pPr>
      <w:r w:rsidRPr="00FA2552">
        <w:rPr>
          <w:sz w:val="22"/>
        </w:rPr>
        <w:t>C.</w:t>
      </w:r>
      <w:r>
        <w:rPr>
          <w:sz w:val="22"/>
        </w:rPr>
        <w:t xml:space="preserve"> </w:t>
      </w:r>
      <w:r w:rsidRPr="00FA2552">
        <w:rPr>
          <w:sz w:val="22"/>
        </w:rPr>
        <w:t>Schedule 14 of the Localism Act 2011</w:t>
      </w:r>
    </w:p>
    <w:p w14:paraId="2AEC17D4" w14:textId="359E0E5A" w:rsidR="00FA2552" w:rsidRPr="00FA2552" w:rsidRDefault="00FA2552" w:rsidP="00FA2552">
      <w:pPr>
        <w:pStyle w:val="Level2"/>
        <w:numPr>
          <w:ilvl w:val="0"/>
          <w:numId w:val="0"/>
        </w:numPr>
        <w:ind w:left="1712" w:hanging="992"/>
        <w:rPr>
          <w:sz w:val="22"/>
        </w:rPr>
      </w:pPr>
      <w:r w:rsidRPr="00FA2552">
        <w:rPr>
          <w:sz w:val="22"/>
        </w:rPr>
        <w:t>D.</w:t>
      </w:r>
      <w:r>
        <w:rPr>
          <w:sz w:val="22"/>
        </w:rPr>
        <w:t xml:space="preserve"> </w:t>
      </w:r>
      <w:r w:rsidRPr="00FA2552">
        <w:rPr>
          <w:sz w:val="22"/>
        </w:rPr>
        <w:t>Section 106</w:t>
      </w:r>
    </w:p>
    <w:p w14:paraId="2341EBC6" w14:textId="2C0E5FD1" w:rsidR="00EC30D1" w:rsidRPr="0022000F" w:rsidRDefault="00FA2552" w:rsidP="0022000F">
      <w:pPr>
        <w:pStyle w:val="Level2"/>
        <w:numPr>
          <w:ilvl w:val="0"/>
          <w:numId w:val="0"/>
        </w:numPr>
        <w:ind w:left="1712" w:hanging="992"/>
      </w:pPr>
      <w:r w:rsidRPr="00FA2552">
        <w:rPr>
          <w:sz w:val="22"/>
        </w:rPr>
        <w:t>E.</w:t>
      </w:r>
      <w:r>
        <w:rPr>
          <w:sz w:val="22"/>
        </w:rPr>
        <w:t xml:space="preserve"> </w:t>
      </w:r>
      <w:r w:rsidRPr="00FA2552">
        <w:rPr>
          <w:sz w:val="22"/>
        </w:rPr>
        <w:t>Other situations stipulated by West Kent, please see Appendix A</w:t>
      </w:r>
    </w:p>
    <w:p w14:paraId="363B69A7" w14:textId="1AF83E6A" w:rsidR="00FA2552" w:rsidRDefault="0022000F" w:rsidP="00EC30D1">
      <w:pPr>
        <w:pStyle w:val="Level2"/>
        <w:numPr>
          <w:ilvl w:val="0"/>
          <w:numId w:val="0"/>
        </w:numPr>
        <w:ind w:left="992" w:hanging="992"/>
        <w:rPr>
          <w:b/>
          <w:bCs/>
          <w:sz w:val="22"/>
        </w:rPr>
      </w:pPr>
      <w:r>
        <w:rPr>
          <w:b/>
          <w:bCs/>
          <w:sz w:val="22"/>
        </w:rPr>
        <w:t>7</w:t>
      </w:r>
      <w:r w:rsidR="00EC30D1" w:rsidRPr="00EC30D1">
        <w:rPr>
          <w:b/>
          <w:bCs/>
          <w:sz w:val="22"/>
        </w:rPr>
        <w:t>.0 Types of Mutual Exchange</w:t>
      </w:r>
    </w:p>
    <w:p w14:paraId="67295215" w14:textId="6A7AC086" w:rsidR="00EC30D1" w:rsidRPr="00EC30D1" w:rsidRDefault="0022000F" w:rsidP="00EC30D1">
      <w:pPr>
        <w:pStyle w:val="Level2"/>
        <w:numPr>
          <w:ilvl w:val="0"/>
          <w:numId w:val="0"/>
        </w:numPr>
        <w:rPr>
          <w:sz w:val="22"/>
        </w:rPr>
      </w:pPr>
      <w:r>
        <w:rPr>
          <w:sz w:val="22"/>
        </w:rPr>
        <w:t>7</w:t>
      </w:r>
      <w:r w:rsidR="00EC30D1">
        <w:rPr>
          <w:sz w:val="22"/>
        </w:rPr>
        <w:t xml:space="preserve">.1 </w:t>
      </w:r>
      <w:r w:rsidR="00EC30D1" w:rsidRPr="00EC30D1">
        <w:rPr>
          <w:sz w:val="22"/>
        </w:rPr>
        <w:t>The Head of Voids &amp; Lettings will monitor monthly compliance with the statutory 42-day deadline for decisions on mutual exchange.</w:t>
      </w:r>
    </w:p>
    <w:p w14:paraId="76B81574" w14:textId="55801F7C" w:rsidR="00EC30D1" w:rsidRPr="00EC30D1" w:rsidRDefault="0022000F" w:rsidP="00EC30D1">
      <w:pPr>
        <w:pStyle w:val="Level2"/>
        <w:numPr>
          <w:ilvl w:val="0"/>
          <w:numId w:val="0"/>
        </w:numPr>
        <w:rPr>
          <w:sz w:val="22"/>
        </w:rPr>
      </w:pPr>
      <w:r>
        <w:rPr>
          <w:sz w:val="22"/>
        </w:rPr>
        <w:t>7</w:t>
      </w:r>
      <w:r w:rsidR="00EC30D1">
        <w:rPr>
          <w:sz w:val="22"/>
        </w:rPr>
        <w:t xml:space="preserve">.2 </w:t>
      </w:r>
      <w:r w:rsidR="00EC30D1" w:rsidRPr="00EC30D1">
        <w:rPr>
          <w:sz w:val="22"/>
        </w:rPr>
        <w:t>The Head of Voids &amp; lettings will monitor compliance with all legislative requirements of the mutual exchange process.</w:t>
      </w:r>
    </w:p>
    <w:p w14:paraId="1717E1D0" w14:textId="7B1E267B" w:rsidR="00EC30D1" w:rsidRDefault="0022000F" w:rsidP="00EC30D1">
      <w:pPr>
        <w:pStyle w:val="Level2"/>
        <w:numPr>
          <w:ilvl w:val="0"/>
          <w:numId w:val="0"/>
        </w:numPr>
        <w:ind w:left="992" w:hanging="992"/>
        <w:rPr>
          <w:b/>
          <w:bCs/>
          <w:sz w:val="22"/>
        </w:rPr>
      </w:pPr>
      <w:r>
        <w:rPr>
          <w:b/>
          <w:bCs/>
          <w:sz w:val="22"/>
        </w:rPr>
        <w:t>8</w:t>
      </w:r>
      <w:r w:rsidR="00EC30D1">
        <w:rPr>
          <w:b/>
          <w:bCs/>
          <w:sz w:val="22"/>
        </w:rPr>
        <w:t>.0 Grounds for refusing a Mutual Exchange:</w:t>
      </w:r>
    </w:p>
    <w:p w14:paraId="4B0F39A9" w14:textId="6357A849" w:rsidR="00EC30D1" w:rsidRDefault="0022000F" w:rsidP="00EC30D1">
      <w:pPr>
        <w:pStyle w:val="Level2"/>
        <w:numPr>
          <w:ilvl w:val="0"/>
          <w:numId w:val="0"/>
        </w:numPr>
        <w:rPr>
          <w:sz w:val="22"/>
        </w:rPr>
      </w:pPr>
      <w:r>
        <w:rPr>
          <w:sz w:val="22"/>
        </w:rPr>
        <w:lastRenderedPageBreak/>
        <w:t>8</w:t>
      </w:r>
      <w:r w:rsidR="00EC30D1" w:rsidRPr="00EC30D1">
        <w:rPr>
          <w:sz w:val="22"/>
        </w:rPr>
        <w:t xml:space="preserve">.1 Mutual Exchange is a statutory right, which people have an assured or secure tenancy are entitled to exercise. A Mutual Exchange can only be refused in the following circumstances: </w:t>
      </w:r>
    </w:p>
    <w:p w14:paraId="7107132B" w14:textId="0D7B5839" w:rsidR="00EC30D1" w:rsidRPr="00EC30D1" w:rsidRDefault="0022000F" w:rsidP="00EC30D1">
      <w:pPr>
        <w:pStyle w:val="Level2"/>
        <w:numPr>
          <w:ilvl w:val="0"/>
          <w:numId w:val="0"/>
        </w:numPr>
        <w:rPr>
          <w:sz w:val="22"/>
        </w:rPr>
      </w:pPr>
      <w:r>
        <w:rPr>
          <w:sz w:val="22"/>
        </w:rPr>
        <w:t>8</w:t>
      </w:r>
      <w:r w:rsidR="00EC30D1">
        <w:rPr>
          <w:sz w:val="22"/>
        </w:rPr>
        <w:t xml:space="preserve">.2 </w:t>
      </w:r>
      <w:r w:rsidR="00EC30D1" w:rsidRPr="00EC30D1">
        <w:rPr>
          <w:sz w:val="22"/>
        </w:rPr>
        <w:t>Schedule 3 of the Housing Act 1985:</w:t>
      </w:r>
    </w:p>
    <w:p w14:paraId="377750E2" w14:textId="6528EDC1" w:rsidR="00EC30D1" w:rsidRPr="00EC30D1" w:rsidRDefault="0022000F" w:rsidP="00EC30D1">
      <w:pPr>
        <w:pStyle w:val="Level2"/>
        <w:numPr>
          <w:ilvl w:val="0"/>
          <w:numId w:val="0"/>
        </w:numPr>
        <w:rPr>
          <w:sz w:val="22"/>
        </w:rPr>
      </w:pPr>
      <w:r>
        <w:rPr>
          <w:sz w:val="22"/>
        </w:rPr>
        <w:t>8</w:t>
      </w:r>
      <w:r w:rsidR="00EC30D1">
        <w:rPr>
          <w:sz w:val="22"/>
        </w:rPr>
        <w:t xml:space="preserve">.2.1 </w:t>
      </w:r>
      <w:r w:rsidR="00EC30D1" w:rsidRPr="00EC30D1">
        <w:rPr>
          <w:sz w:val="22"/>
        </w:rPr>
        <w:t>The outgoing tenant or the incoming tenant is subject to a possession order or a suspended possession order.</w:t>
      </w:r>
    </w:p>
    <w:p w14:paraId="3A651901" w14:textId="2831F4B7" w:rsidR="00EC30D1" w:rsidRPr="00EC30D1" w:rsidRDefault="0022000F" w:rsidP="00EC30D1">
      <w:pPr>
        <w:pStyle w:val="Level2"/>
        <w:numPr>
          <w:ilvl w:val="0"/>
          <w:numId w:val="0"/>
        </w:numPr>
        <w:rPr>
          <w:sz w:val="22"/>
        </w:rPr>
      </w:pPr>
      <w:r>
        <w:rPr>
          <w:sz w:val="22"/>
        </w:rPr>
        <w:t>8</w:t>
      </w:r>
      <w:r w:rsidR="00EC30D1">
        <w:rPr>
          <w:sz w:val="22"/>
        </w:rPr>
        <w:t xml:space="preserve">.2.2 </w:t>
      </w:r>
      <w:r w:rsidR="00EC30D1" w:rsidRPr="00EC30D1">
        <w:rPr>
          <w:sz w:val="22"/>
        </w:rPr>
        <w:t>Either the outgoing tenant or the incoming tenant is subject to a current Notice of Seeking Possession or possession proceedings have started.</w:t>
      </w:r>
    </w:p>
    <w:p w14:paraId="537D041E" w14:textId="77777777" w:rsidR="00EC30D1" w:rsidRPr="00EC30D1" w:rsidRDefault="00EC30D1" w:rsidP="00EC30D1">
      <w:pPr>
        <w:pStyle w:val="Level2"/>
        <w:numPr>
          <w:ilvl w:val="0"/>
          <w:numId w:val="0"/>
        </w:numPr>
        <w:ind w:left="992" w:hanging="992"/>
        <w:rPr>
          <w:sz w:val="22"/>
        </w:rPr>
      </w:pPr>
      <w:r w:rsidRPr="00EC30D1">
        <w:rPr>
          <w:sz w:val="22"/>
        </w:rPr>
        <w:t>This only applies where possession is being sought on one or more of the following grounds:</w:t>
      </w:r>
    </w:p>
    <w:p w14:paraId="5AC747A1" w14:textId="45ED334A" w:rsidR="00EC30D1" w:rsidRPr="00EC30D1" w:rsidRDefault="00EC30D1" w:rsidP="00EC30D1">
      <w:pPr>
        <w:pStyle w:val="Level2"/>
        <w:numPr>
          <w:ilvl w:val="0"/>
          <w:numId w:val="0"/>
        </w:numPr>
        <w:ind w:left="720"/>
        <w:rPr>
          <w:sz w:val="22"/>
        </w:rPr>
      </w:pPr>
      <w:r w:rsidRPr="00EC30D1">
        <w:rPr>
          <w:sz w:val="22"/>
        </w:rPr>
        <w:t>a.</w:t>
      </w:r>
      <w:r>
        <w:rPr>
          <w:sz w:val="22"/>
        </w:rPr>
        <w:t xml:space="preserve"> </w:t>
      </w:r>
      <w:r w:rsidRPr="00EC30D1">
        <w:rPr>
          <w:sz w:val="22"/>
        </w:rPr>
        <w:t>Non-payment of rent or non-compliance with a tenancy condition.</w:t>
      </w:r>
    </w:p>
    <w:p w14:paraId="2A13D776" w14:textId="13F15F49" w:rsidR="00EC30D1" w:rsidRPr="00EC30D1" w:rsidRDefault="00EC30D1" w:rsidP="00EC30D1">
      <w:pPr>
        <w:pStyle w:val="Level2"/>
        <w:numPr>
          <w:ilvl w:val="0"/>
          <w:numId w:val="0"/>
        </w:numPr>
        <w:ind w:left="1712" w:hanging="992"/>
        <w:rPr>
          <w:sz w:val="22"/>
        </w:rPr>
      </w:pPr>
      <w:r w:rsidRPr="00EC30D1">
        <w:rPr>
          <w:sz w:val="22"/>
        </w:rPr>
        <w:t>b.</w:t>
      </w:r>
      <w:r>
        <w:rPr>
          <w:sz w:val="22"/>
        </w:rPr>
        <w:t xml:space="preserve"> </w:t>
      </w:r>
      <w:r w:rsidRPr="00EC30D1">
        <w:rPr>
          <w:sz w:val="22"/>
        </w:rPr>
        <w:t>Nuisance or annoyance to neighbours or using the dwelling for immoral or illegal purposes.</w:t>
      </w:r>
    </w:p>
    <w:p w14:paraId="563D99E4" w14:textId="3490148E" w:rsidR="00EC30D1" w:rsidRPr="00EC30D1" w:rsidRDefault="00EC30D1" w:rsidP="00EC30D1">
      <w:pPr>
        <w:pStyle w:val="Level2"/>
        <w:numPr>
          <w:ilvl w:val="0"/>
          <w:numId w:val="0"/>
        </w:numPr>
        <w:ind w:left="1712" w:hanging="992"/>
        <w:rPr>
          <w:sz w:val="22"/>
        </w:rPr>
      </w:pPr>
      <w:r w:rsidRPr="00EC30D1">
        <w:rPr>
          <w:sz w:val="22"/>
        </w:rPr>
        <w:t>c.</w:t>
      </w:r>
      <w:r>
        <w:rPr>
          <w:sz w:val="22"/>
        </w:rPr>
        <w:t xml:space="preserve"> </w:t>
      </w:r>
      <w:r w:rsidRPr="00EC30D1">
        <w:rPr>
          <w:sz w:val="22"/>
        </w:rPr>
        <w:t>Neglect or damage of the dwelling or common parts.</w:t>
      </w:r>
    </w:p>
    <w:p w14:paraId="1445995F" w14:textId="1704FB81" w:rsidR="00EC30D1" w:rsidRPr="00EC30D1" w:rsidRDefault="00EC30D1" w:rsidP="00EC30D1">
      <w:pPr>
        <w:pStyle w:val="Level2"/>
        <w:numPr>
          <w:ilvl w:val="0"/>
          <w:numId w:val="0"/>
        </w:numPr>
        <w:ind w:left="1712" w:hanging="992"/>
        <w:rPr>
          <w:sz w:val="22"/>
        </w:rPr>
      </w:pPr>
      <w:r w:rsidRPr="00EC30D1">
        <w:rPr>
          <w:sz w:val="22"/>
        </w:rPr>
        <w:t>d.</w:t>
      </w:r>
      <w:r>
        <w:rPr>
          <w:sz w:val="22"/>
        </w:rPr>
        <w:t xml:space="preserve"> </w:t>
      </w:r>
      <w:r w:rsidRPr="00EC30D1">
        <w:rPr>
          <w:sz w:val="22"/>
        </w:rPr>
        <w:t>Ill treatment of landlord’s furniture.</w:t>
      </w:r>
    </w:p>
    <w:p w14:paraId="4D19874F" w14:textId="400489A9" w:rsidR="00EC30D1" w:rsidRPr="00EC30D1" w:rsidRDefault="00EC30D1" w:rsidP="00EC30D1">
      <w:pPr>
        <w:pStyle w:val="Level2"/>
        <w:numPr>
          <w:ilvl w:val="0"/>
          <w:numId w:val="0"/>
        </w:numPr>
        <w:ind w:left="1712" w:hanging="992"/>
        <w:rPr>
          <w:sz w:val="22"/>
        </w:rPr>
      </w:pPr>
      <w:r w:rsidRPr="00EC30D1">
        <w:rPr>
          <w:sz w:val="22"/>
        </w:rPr>
        <w:t>e.</w:t>
      </w:r>
      <w:r>
        <w:rPr>
          <w:sz w:val="22"/>
        </w:rPr>
        <w:t xml:space="preserve"> </w:t>
      </w:r>
      <w:r w:rsidRPr="00EC30D1">
        <w:rPr>
          <w:sz w:val="22"/>
        </w:rPr>
        <w:t>Obtaining the tenancy by a false statement.</w:t>
      </w:r>
    </w:p>
    <w:p w14:paraId="3A569321" w14:textId="07E8BC08" w:rsidR="00EC30D1" w:rsidRPr="00EC30D1" w:rsidRDefault="00EC30D1" w:rsidP="00EC30D1">
      <w:pPr>
        <w:pStyle w:val="Level2"/>
        <w:numPr>
          <w:ilvl w:val="0"/>
          <w:numId w:val="0"/>
        </w:numPr>
        <w:ind w:left="1712" w:hanging="992"/>
        <w:rPr>
          <w:sz w:val="22"/>
        </w:rPr>
      </w:pPr>
      <w:r w:rsidRPr="00EC30D1">
        <w:rPr>
          <w:sz w:val="22"/>
        </w:rPr>
        <w:t>f.</w:t>
      </w:r>
      <w:r>
        <w:rPr>
          <w:sz w:val="22"/>
        </w:rPr>
        <w:t xml:space="preserve"> </w:t>
      </w:r>
      <w:r w:rsidRPr="00EC30D1">
        <w:rPr>
          <w:sz w:val="22"/>
        </w:rPr>
        <w:t>Participating in an exchange, which has involved the payment of a premium.</w:t>
      </w:r>
    </w:p>
    <w:p w14:paraId="265732D4" w14:textId="6A791723" w:rsidR="00EC30D1" w:rsidRPr="00EC30D1" w:rsidRDefault="0022000F" w:rsidP="00EC30D1">
      <w:pPr>
        <w:pStyle w:val="Level2"/>
        <w:numPr>
          <w:ilvl w:val="0"/>
          <w:numId w:val="0"/>
        </w:numPr>
        <w:rPr>
          <w:sz w:val="22"/>
        </w:rPr>
      </w:pPr>
      <w:r>
        <w:rPr>
          <w:sz w:val="22"/>
        </w:rPr>
        <w:t>8</w:t>
      </w:r>
      <w:r w:rsidR="00EC30D1" w:rsidRPr="00EC30D1">
        <w:rPr>
          <w:sz w:val="22"/>
        </w:rPr>
        <w:t>.2.3</w:t>
      </w:r>
      <w:r w:rsidR="00EC30D1">
        <w:rPr>
          <w:sz w:val="22"/>
        </w:rPr>
        <w:t xml:space="preserve"> </w:t>
      </w:r>
      <w:r w:rsidR="00EC30D1" w:rsidRPr="00EC30D1">
        <w:rPr>
          <w:sz w:val="22"/>
        </w:rPr>
        <w:t xml:space="preserve">The property is ‘substantially larger’ than is required by the incoming tenant. i.e., not more than 1 bed </w:t>
      </w:r>
      <w:proofErr w:type="gramStart"/>
      <w:r w:rsidR="00EC30D1" w:rsidRPr="00EC30D1">
        <w:rPr>
          <w:sz w:val="22"/>
        </w:rPr>
        <w:t>in excess of</w:t>
      </w:r>
      <w:proofErr w:type="gramEnd"/>
      <w:r w:rsidR="00EC30D1" w:rsidRPr="00EC30D1">
        <w:rPr>
          <w:sz w:val="22"/>
        </w:rPr>
        <w:t xml:space="preserve"> the incoming tenants’ current needs. </w:t>
      </w:r>
    </w:p>
    <w:p w14:paraId="7A45C0AF" w14:textId="4D7D24C4" w:rsidR="00EC30D1" w:rsidRPr="00EC30D1" w:rsidRDefault="0022000F" w:rsidP="00EC30D1">
      <w:pPr>
        <w:pStyle w:val="Level2"/>
        <w:numPr>
          <w:ilvl w:val="0"/>
          <w:numId w:val="0"/>
        </w:numPr>
        <w:rPr>
          <w:sz w:val="22"/>
        </w:rPr>
      </w:pPr>
      <w:r>
        <w:rPr>
          <w:sz w:val="22"/>
        </w:rPr>
        <w:t>8</w:t>
      </w:r>
      <w:r w:rsidR="00EC30D1" w:rsidRPr="00EC30D1">
        <w:rPr>
          <w:sz w:val="22"/>
        </w:rPr>
        <w:t>.2.4</w:t>
      </w:r>
      <w:r w:rsidR="00EC30D1">
        <w:rPr>
          <w:sz w:val="22"/>
        </w:rPr>
        <w:t xml:space="preserve"> </w:t>
      </w:r>
      <w:r w:rsidR="00EC30D1" w:rsidRPr="00EC30D1">
        <w:rPr>
          <w:sz w:val="22"/>
        </w:rPr>
        <w:t>The property is ‘substantially too small’ for the incoming tenant and their family. i.e., the tenants would be overcrowding the property as recognised by the Local Authority Housing Register.</w:t>
      </w:r>
    </w:p>
    <w:p w14:paraId="60FDF953" w14:textId="57FD8AA5" w:rsidR="00EC30D1" w:rsidRPr="00EC30D1" w:rsidRDefault="0022000F" w:rsidP="00EC30D1">
      <w:pPr>
        <w:pStyle w:val="Level2"/>
        <w:numPr>
          <w:ilvl w:val="0"/>
          <w:numId w:val="0"/>
        </w:numPr>
        <w:rPr>
          <w:sz w:val="22"/>
        </w:rPr>
      </w:pPr>
      <w:r>
        <w:rPr>
          <w:sz w:val="22"/>
        </w:rPr>
        <w:t>8</w:t>
      </w:r>
      <w:r w:rsidR="00EC30D1" w:rsidRPr="00EC30D1">
        <w:rPr>
          <w:sz w:val="22"/>
        </w:rPr>
        <w:t>.2.</w:t>
      </w:r>
      <w:r w:rsidR="00EC30D1">
        <w:rPr>
          <w:sz w:val="22"/>
        </w:rPr>
        <w:t xml:space="preserve">5 </w:t>
      </w:r>
      <w:r w:rsidR="00EC30D1" w:rsidRPr="00EC30D1">
        <w:rPr>
          <w:sz w:val="22"/>
        </w:rPr>
        <w:t>The extent of your accommodation is not reasonably suitable for the needs of the incoming tenant or vice versa.</w:t>
      </w:r>
    </w:p>
    <w:p w14:paraId="0A52D9D2" w14:textId="48EC706E" w:rsidR="00EC30D1" w:rsidRPr="00EC30D1" w:rsidRDefault="0022000F" w:rsidP="00EC30D1">
      <w:pPr>
        <w:pStyle w:val="Level2"/>
        <w:numPr>
          <w:ilvl w:val="0"/>
          <w:numId w:val="0"/>
        </w:numPr>
        <w:rPr>
          <w:sz w:val="22"/>
        </w:rPr>
      </w:pPr>
      <w:r>
        <w:rPr>
          <w:sz w:val="22"/>
        </w:rPr>
        <w:t>8</w:t>
      </w:r>
      <w:r w:rsidR="00EC30D1">
        <w:rPr>
          <w:sz w:val="22"/>
        </w:rPr>
        <w:t xml:space="preserve">.2.6 </w:t>
      </w:r>
      <w:r w:rsidR="00EC30D1" w:rsidRPr="00EC30D1">
        <w:rPr>
          <w:sz w:val="22"/>
        </w:rPr>
        <w:t>One of the properties is in a cemetery, or within the curtilage of a building, which is mainly of non-housing accommodation and was let to the tenant or his or her predecessor through his or her employment by the landlord or other similar body. For example, warden or caretaker accommodation.</w:t>
      </w:r>
    </w:p>
    <w:p w14:paraId="277AF9A6" w14:textId="2DBA32AF" w:rsidR="00EC30D1" w:rsidRPr="00EC30D1" w:rsidRDefault="0022000F" w:rsidP="00EC30D1">
      <w:pPr>
        <w:pStyle w:val="Level2"/>
        <w:numPr>
          <w:ilvl w:val="0"/>
          <w:numId w:val="0"/>
        </w:numPr>
        <w:rPr>
          <w:sz w:val="22"/>
        </w:rPr>
      </w:pPr>
      <w:r>
        <w:rPr>
          <w:sz w:val="22"/>
        </w:rPr>
        <w:t>8</w:t>
      </w:r>
      <w:r w:rsidR="00EC30D1" w:rsidRPr="00EC30D1">
        <w:rPr>
          <w:sz w:val="22"/>
        </w:rPr>
        <w:t>.2.7</w:t>
      </w:r>
      <w:r w:rsidR="00EC30D1">
        <w:rPr>
          <w:sz w:val="22"/>
        </w:rPr>
        <w:t xml:space="preserve"> </w:t>
      </w:r>
      <w:r w:rsidR="00EC30D1" w:rsidRPr="00EC30D1">
        <w:rPr>
          <w:sz w:val="22"/>
        </w:rPr>
        <w:t>The landlord of one of the tenants is a charity and assignment of the tenancy would conflict with the objectives of the charity.</w:t>
      </w:r>
    </w:p>
    <w:p w14:paraId="33C81D29" w14:textId="6E957BB3" w:rsidR="00EC30D1" w:rsidRPr="00EC30D1" w:rsidRDefault="0022000F" w:rsidP="00EC30D1">
      <w:pPr>
        <w:pStyle w:val="Level2"/>
        <w:numPr>
          <w:ilvl w:val="0"/>
          <w:numId w:val="0"/>
        </w:numPr>
        <w:rPr>
          <w:sz w:val="22"/>
        </w:rPr>
      </w:pPr>
      <w:r>
        <w:rPr>
          <w:sz w:val="22"/>
        </w:rPr>
        <w:t>8</w:t>
      </w:r>
      <w:r w:rsidR="00EC30D1" w:rsidRPr="00EC30D1">
        <w:rPr>
          <w:sz w:val="22"/>
        </w:rPr>
        <w:t>.2.8</w:t>
      </w:r>
      <w:r w:rsidR="00EC30D1">
        <w:rPr>
          <w:sz w:val="22"/>
        </w:rPr>
        <w:t xml:space="preserve"> </w:t>
      </w:r>
      <w:r w:rsidR="00EC30D1" w:rsidRPr="00EC30D1">
        <w:rPr>
          <w:sz w:val="22"/>
        </w:rPr>
        <w:t>One of the properties is specially adapted or designed for a person with a disability and the incoming tenant or their family does not require that adaptation.</w:t>
      </w:r>
    </w:p>
    <w:p w14:paraId="1F138F27" w14:textId="52404EE4" w:rsidR="00EC30D1" w:rsidRPr="00EC30D1" w:rsidRDefault="0022000F" w:rsidP="00EC30D1">
      <w:pPr>
        <w:pStyle w:val="Level2"/>
        <w:numPr>
          <w:ilvl w:val="0"/>
          <w:numId w:val="0"/>
        </w:numPr>
        <w:rPr>
          <w:sz w:val="22"/>
        </w:rPr>
      </w:pPr>
      <w:r>
        <w:rPr>
          <w:sz w:val="22"/>
        </w:rPr>
        <w:t>8</w:t>
      </w:r>
      <w:r w:rsidR="00EC30D1" w:rsidRPr="00EC30D1">
        <w:rPr>
          <w:sz w:val="22"/>
        </w:rPr>
        <w:t>.2.9</w:t>
      </w:r>
      <w:r w:rsidR="00EC30D1">
        <w:rPr>
          <w:sz w:val="22"/>
        </w:rPr>
        <w:t xml:space="preserve"> </w:t>
      </w:r>
      <w:r w:rsidR="00EC30D1" w:rsidRPr="00EC30D1">
        <w:rPr>
          <w:sz w:val="22"/>
        </w:rPr>
        <w:t>One of the landlords is a Housing Association or Housing Trust which lets its properties to persons who face special difficulties (not merely financial), and the incoming tenant does not fall within this category.</w:t>
      </w:r>
    </w:p>
    <w:p w14:paraId="4C679C2A" w14:textId="38A943FB" w:rsidR="00EC30D1" w:rsidRPr="00EC30D1" w:rsidRDefault="0022000F" w:rsidP="00EC30D1">
      <w:pPr>
        <w:pStyle w:val="Level2"/>
        <w:numPr>
          <w:ilvl w:val="0"/>
          <w:numId w:val="0"/>
        </w:numPr>
        <w:rPr>
          <w:sz w:val="22"/>
        </w:rPr>
      </w:pPr>
      <w:r>
        <w:rPr>
          <w:sz w:val="22"/>
        </w:rPr>
        <w:lastRenderedPageBreak/>
        <w:t>8</w:t>
      </w:r>
      <w:r w:rsidR="00EC30D1" w:rsidRPr="00EC30D1">
        <w:rPr>
          <w:sz w:val="22"/>
        </w:rPr>
        <w:t>.2.10</w:t>
      </w:r>
      <w:r w:rsidR="00EC30D1">
        <w:rPr>
          <w:sz w:val="22"/>
        </w:rPr>
        <w:t xml:space="preserve"> </w:t>
      </w:r>
      <w:r w:rsidR="00EC30D1" w:rsidRPr="00EC30D1">
        <w:rPr>
          <w:sz w:val="22"/>
        </w:rPr>
        <w:t xml:space="preserve">One of the properties is one of a group provided for people with special needs, with a social service or special needs facility </w:t>
      </w:r>
      <w:proofErr w:type="gramStart"/>
      <w:r w:rsidR="00EC30D1" w:rsidRPr="00EC30D1">
        <w:rPr>
          <w:sz w:val="22"/>
        </w:rPr>
        <w:t>in close proximity to</w:t>
      </w:r>
      <w:proofErr w:type="gramEnd"/>
      <w:r w:rsidR="00EC30D1" w:rsidRPr="00EC30D1">
        <w:rPr>
          <w:sz w:val="22"/>
        </w:rPr>
        <w:t xml:space="preserve"> help meet those needs and this is not required by the incoming tenant or their family. For example, Emerald Accommodation.</w:t>
      </w:r>
    </w:p>
    <w:p w14:paraId="2A10C659" w14:textId="67E5AAD2" w:rsidR="00EC30D1" w:rsidRPr="00EC30D1" w:rsidRDefault="0022000F" w:rsidP="00EC30D1">
      <w:pPr>
        <w:pStyle w:val="Level2"/>
        <w:numPr>
          <w:ilvl w:val="0"/>
          <w:numId w:val="0"/>
        </w:numPr>
        <w:rPr>
          <w:sz w:val="22"/>
        </w:rPr>
      </w:pPr>
      <w:r>
        <w:rPr>
          <w:sz w:val="22"/>
        </w:rPr>
        <w:t>8</w:t>
      </w:r>
      <w:r w:rsidR="00EC30D1" w:rsidRPr="00EC30D1">
        <w:rPr>
          <w:sz w:val="22"/>
        </w:rPr>
        <w:t>.2.11</w:t>
      </w:r>
      <w:r w:rsidR="00EC30D1">
        <w:rPr>
          <w:sz w:val="22"/>
        </w:rPr>
        <w:t xml:space="preserve"> </w:t>
      </w:r>
      <w:r w:rsidR="00EC30D1" w:rsidRPr="00EC30D1">
        <w:rPr>
          <w:sz w:val="22"/>
        </w:rPr>
        <w:t xml:space="preserve">One of the properties is subject of a management agreement where the manager is a housing association of which at least half the members are tenants subject to the agreement, and at least half the tenants of the properties are members of the association </w:t>
      </w:r>
      <w:proofErr w:type="gramStart"/>
      <w:r w:rsidR="00EC30D1" w:rsidRPr="00EC30D1">
        <w:rPr>
          <w:sz w:val="22"/>
        </w:rPr>
        <w:t>and also</w:t>
      </w:r>
      <w:proofErr w:type="gramEnd"/>
      <w:r w:rsidR="00EC30D1" w:rsidRPr="00EC30D1">
        <w:rPr>
          <w:sz w:val="22"/>
        </w:rPr>
        <w:t xml:space="preserve"> that the proposed assignee is not such a member nor is willing to become one.</w:t>
      </w:r>
    </w:p>
    <w:p w14:paraId="60960CB6" w14:textId="0676C44D" w:rsidR="00EC30D1" w:rsidRPr="00EC30D1" w:rsidRDefault="0022000F" w:rsidP="00EC30D1">
      <w:pPr>
        <w:pStyle w:val="Level2"/>
        <w:numPr>
          <w:ilvl w:val="0"/>
          <w:numId w:val="0"/>
        </w:numPr>
        <w:ind w:left="992" w:hanging="992"/>
        <w:rPr>
          <w:b/>
          <w:bCs/>
          <w:sz w:val="22"/>
        </w:rPr>
      </w:pPr>
      <w:r>
        <w:rPr>
          <w:b/>
          <w:bCs/>
          <w:sz w:val="22"/>
        </w:rPr>
        <w:t>8</w:t>
      </w:r>
      <w:r w:rsidR="00EC30D1" w:rsidRPr="00EC30D1">
        <w:rPr>
          <w:b/>
          <w:bCs/>
          <w:sz w:val="22"/>
        </w:rPr>
        <w:t>.3 Housing Act 2004:</w:t>
      </w:r>
    </w:p>
    <w:p w14:paraId="77728DC9" w14:textId="0B0D8D85" w:rsidR="00EC30D1" w:rsidRPr="00EC30D1" w:rsidRDefault="0022000F" w:rsidP="00EC30D1">
      <w:pPr>
        <w:pStyle w:val="Level2"/>
        <w:numPr>
          <w:ilvl w:val="0"/>
          <w:numId w:val="0"/>
        </w:numPr>
        <w:rPr>
          <w:sz w:val="22"/>
        </w:rPr>
      </w:pPr>
      <w:r>
        <w:rPr>
          <w:sz w:val="22"/>
        </w:rPr>
        <w:t>8</w:t>
      </w:r>
      <w:r w:rsidR="00EC30D1" w:rsidRPr="00EC30D1">
        <w:rPr>
          <w:sz w:val="22"/>
        </w:rPr>
        <w:t>.3.1</w:t>
      </w:r>
      <w:r w:rsidR="00EC30D1">
        <w:rPr>
          <w:sz w:val="22"/>
        </w:rPr>
        <w:t xml:space="preserve"> </w:t>
      </w:r>
      <w:r w:rsidR="00EC30D1" w:rsidRPr="00EC30D1">
        <w:rPr>
          <w:sz w:val="22"/>
        </w:rPr>
        <w:t xml:space="preserve">An injunction order under s.1 PART 1 Anti-social Behaviour Crime and Policing Act 2014 or a Criminal Behaviour Order under s.22 PART 2 Anti-social Behaviour Crime and Policing Act 2014 or a Demotion Order or a Possession Order under Section 84A Housing Act 1985, Ground 2 or 2ZA in Part 1 Schedule 2 to the </w:t>
      </w:r>
      <w:proofErr w:type="spellStart"/>
      <w:r w:rsidR="00EC30D1" w:rsidRPr="00EC30D1">
        <w:rPr>
          <w:sz w:val="22"/>
        </w:rPr>
        <w:t>Housi</w:t>
      </w:r>
      <w:proofErr w:type="spellEnd"/>
      <w:r w:rsidR="00EC30D1" w:rsidRPr="00EC30D1">
        <w:rPr>
          <w:sz w:val="22"/>
        </w:rPr>
        <w:t xml:space="preserve"> ng Act 1985 and Section 94, 98 and 99.</w:t>
      </w:r>
    </w:p>
    <w:p w14:paraId="6E7D3336" w14:textId="31129F20" w:rsidR="00EC30D1" w:rsidRPr="00EC30D1" w:rsidRDefault="0022000F" w:rsidP="00EC30D1">
      <w:pPr>
        <w:pStyle w:val="Level2"/>
        <w:numPr>
          <w:ilvl w:val="0"/>
          <w:numId w:val="0"/>
        </w:numPr>
        <w:rPr>
          <w:sz w:val="22"/>
        </w:rPr>
      </w:pPr>
      <w:r>
        <w:rPr>
          <w:sz w:val="22"/>
        </w:rPr>
        <w:t>8</w:t>
      </w:r>
      <w:r w:rsidR="00EC30D1" w:rsidRPr="00EC30D1">
        <w:rPr>
          <w:sz w:val="22"/>
        </w:rPr>
        <w:t>.3.2</w:t>
      </w:r>
      <w:r w:rsidR="00EC30D1">
        <w:rPr>
          <w:sz w:val="22"/>
        </w:rPr>
        <w:t xml:space="preserve"> </w:t>
      </w:r>
      <w:r w:rsidR="00EC30D1" w:rsidRPr="00EC30D1">
        <w:rPr>
          <w:sz w:val="22"/>
        </w:rPr>
        <w:t>Anti-social Behaviour Crime and Policing Act 2014 for secure tenancies. Ground 7A in Part 1 of Schedule 2 to the Housing Act 1988 and Section 97 of the Anti-social Behaviour Act 2014. Ground 14 in Part 2 of Schedule 2 to the Housing Act 1988 or Ground 14ZA in Part 2 of Schedule 2 to the Housing Act 1988 for assured tenancies is in force or an application for one of these is pending either against the tenant, the proposed assignee or a person who resides with or visiting the dwelling house.</w:t>
      </w:r>
    </w:p>
    <w:p w14:paraId="4F535A14" w14:textId="52C7C967" w:rsidR="00EC30D1" w:rsidRPr="00EC30D1" w:rsidRDefault="00EC30D1" w:rsidP="0022000F">
      <w:pPr>
        <w:pStyle w:val="Level2"/>
        <w:numPr>
          <w:ilvl w:val="1"/>
          <w:numId w:val="29"/>
        </w:numPr>
        <w:rPr>
          <w:b/>
          <w:bCs/>
          <w:sz w:val="22"/>
        </w:rPr>
      </w:pPr>
      <w:r w:rsidRPr="00EC30D1">
        <w:rPr>
          <w:b/>
          <w:bCs/>
          <w:sz w:val="22"/>
        </w:rPr>
        <w:t>Localism Act 2011:</w:t>
      </w:r>
    </w:p>
    <w:p w14:paraId="4BB382A3" w14:textId="35765610" w:rsidR="00EC30D1" w:rsidRPr="00EC30D1" w:rsidRDefault="0022000F" w:rsidP="00EC30D1">
      <w:pPr>
        <w:pStyle w:val="Level2"/>
        <w:numPr>
          <w:ilvl w:val="0"/>
          <w:numId w:val="0"/>
        </w:numPr>
        <w:rPr>
          <w:sz w:val="22"/>
        </w:rPr>
      </w:pPr>
      <w:r>
        <w:rPr>
          <w:sz w:val="22"/>
        </w:rPr>
        <w:t>8</w:t>
      </w:r>
      <w:r w:rsidR="00EC30D1">
        <w:rPr>
          <w:sz w:val="22"/>
        </w:rPr>
        <w:t xml:space="preserve">.4.1 </w:t>
      </w:r>
      <w:r w:rsidR="00EC30D1" w:rsidRPr="00EC30D1">
        <w:rPr>
          <w:sz w:val="22"/>
        </w:rPr>
        <w:t>Schedule 14 Localism Act 2011 lists the grounds on which a landlord may refuse to surrender and re-grant tenancies under section 158.</w:t>
      </w:r>
    </w:p>
    <w:p w14:paraId="40A78B18" w14:textId="214068AD" w:rsidR="00EC30D1" w:rsidRPr="00EC30D1" w:rsidRDefault="0022000F" w:rsidP="00EC30D1">
      <w:pPr>
        <w:pStyle w:val="Level2"/>
        <w:numPr>
          <w:ilvl w:val="0"/>
          <w:numId w:val="0"/>
        </w:numPr>
        <w:rPr>
          <w:sz w:val="22"/>
        </w:rPr>
      </w:pPr>
      <w:r>
        <w:rPr>
          <w:sz w:val="22"/>
        </w:rPr>
        <w:t>8.</w:t>
      </w:r>
      <w:r w:rsidR="00EC30D1" w:rsidRPr="00EC30D1">
        <w:rPr>
          <w:sz w:val="22"/>
        </w:rPr>
        <w:t>4.2</w:t>
      </w:r>
      <w:r w:rsidR="00EC30D1">
        <w:rPr>
          <w:sz w:val="22"/>
        </w:rPr>
        <w:t xml:space="preserve"> </w:t>
      </w:r>
      <w:r w:rsidR="00EC30D1" w:rsidRPr="00EC30D1">
        <w:rPr>
          <w:sz w:val="22"/>
        </w:rPr>
        <w:t>These include all grounds as set out in Schedule 3 of the Housing Act 1985, in addition to the following:</w:t>
      </w:r>
    </w:p>
    <w:p w14:paraId="768FF66D" w14:textId="0DFF5E8D" w:rsidR="00EC30D1" w:rsidRPr="00EC30D1" w:rsidRDefault="00EC30D1" w:rsidP="00EC30D1">
      <w:pPr>
        <w:pStyle w:val="Level2"/>
        <w:numPr>
          <w:ilvl w:val="0"/>
          <w:numId w:val="26"/>
        </w:numPr>
        <w:rPr>
          <w:sz w:val="22"/>
        </w:rPr>
      </w:pPr>
      <w:r w:rsidRPr="00EC30D1">
        <w:rPr>
          <w:sz w:val="22"/>
        </w:rPr>
        <w:t>The tenant is in rent arrears</w:t>
      </w:r>
    </w:p>
    <w:p w14:paraId="0BEDA438" w14:textId="55F7CFCE" w:rsidR="00EC30D1" w:rsidRPr="00EC30D1" w:rsidRDefault="00EC30D1" w:rsidP="00EC30D1">
      <w:pPr>
        <w:pStyle w:val="Level2"/>
        <w:numPr>
          <w:ilvl w:val="0"/>
          <w:numId w:val="26"/>
        </w:numPr>
        <w:rPr>
          <w:sz w:val="22"/>
        </w:rPr>
      </w:pPr>
      <w:r w:rsidRPr="00EC30D1">
        <w:rPr>
          <w:sz w:val="22"/>
        </w:rPr>
        <w:t>The tenant is otherwise in breach of a term in the tenancy agreement.</w:t>
      </w:r>
    </w:p>
    <w:p w14:paraId="36C1AC1F" w14:textId="77777777" w:rsidR="00EC30D1" w:rsidRPr="00EC30D1" w:rsidRDefault="00EC30D1" w:rsidP="00EC30D1">
      <w:pPr>
        <w:pStyle w:val="Level2"/>
        <w:numPr>
          <w:ilvl w:val="0"/>
          <w:numId w:val="0"/>
        </w:numPr>
        <w:ind w:left="992"/>
        <w:rPr>
          <w:sz w:val="22"/>
        </w:rPr>
      </w:pPr>
    </w:p>
    <w:p w14:paraId="54862652" w14:textId="1BB42984" w:rsidR="00EC30D1" w:rsidRPr="00EC30D1" w:rsidRDefault="00EC30D1" w:rsidP="0022000F">
      <w:pPr>
        <w:pStyle w:val="Level2"/>
        <w:numPr>
          <w:ilvl w:val="1"/>
          <w:numId w:val="29"/>
        </w:numPr>
        <w:rPr>
          <w:b/>
          <w:bCs/>
          <w:sz w:val="22"/>
        </w:rPr>
      </w:pPr>
      <w:r w:rsidRPr="00EC30D1">
        <w:rPr>
          <w:b/>
          <w:bCs/>
          <w:sz w:val="22"/>
        </w:rPr>
        <w:t>Section 106:</w:t>
      </w:r>
    </w:p>
    <w:p w14:paraId="3978E783" w14:textId="3F7F124E" w:rsidR="00EC30D1" w:rsidRPr="00EC30D1" w:rsidRDefault="0022000F" w:rsidP="00EC30D1">
      <w:pPr>
        <w:pStyle w:val="Level2"/>
        <w:numPr>
          <w:ilvl w:val="0"/>
          <w:numId w:val="0"/>
        </w:numPr>
        <w:rPr>
          <w:sz w:val="22"/>
        </w:rPr>
      </w:pPr>
      <w:r>
        <w:rPr>
          <w:sz w:val="22"/>
        </w:rPr>
        <w:t>8</w:t>
      </w:r>
      <w:r w:rsidR="00EC30D1" w:rsidRPr="00EC30D1">
        <w:rPr>
          <w:sz w:val="22"/>
        </w:rPr>
        <w:t>.5.1</w:t>
      </w:r>
      <w:r w:rsidR="00EC30D1">
        <w:rPr>
          <w:sz w:val="22"/>
        </w:rPr>
        <w:t xml:space="preserve"> </w:t>
      </w:r>
      <w:r w:rsidR="00EC30D1" w:rsidRPr="00EC30D1">
        <w:rPr>
          <w:sz w:val="22"/>
        </w:rPr>
        <w:t>One of the properties falls within a Section 106 planning restriction, where there is a local lettings policy in force, and the incoming tenant does not meet the policy criteria.</w:t>
      </w:r>
    </w:p>
    <w:p w14:paraId="052B4A0C" w14:textId="604B38B7" w:rsidR="00EC30D1" w:rsidRPr="00EC30D1" w:rsidRDefault="00EC30D1" w:rsidP="0022000F">
      <w:pPr>
        <w:pStyle w:val="Level2"/>
        <w:numPr>
          <w:ilvl w:val="1"/>
          <w:numId w:val="29"/>
        </w:numPr>
        <w:rPr>
          <w:b/>
          <w:bCs/>
          <w:sz w:val="22"/>
        </w:rPr>
      </w:pPr>
      <w:r w:rsidRPr="00EC30D1">
        <w:rPr>
          <w:b/>
          <w:bCs/>
          <w:sz w:val="22"/>
        </w:rPr>
        <w:t xml:space="preserve">Other: </w:t>
      </w:r>
    </w:p>
    <w:p w14:paraId="68C47085" w14:textId="2421DB4B" w:rsidR="00EC30D1" w:rsidRPr="00EC30D1" w:rsidRDefault="00EC30D1" w:rsidP="0022000F">
      <w:pPr>
        <w:pStyle w:val="Level2"/>
        <w:numPr>
          <w:ilvl w:val="2"/>
          <w:numId w:val="29"/>
        </w:numPr>
        <w:rPr>
          <w:sz w:val="22"/>
        </w:rPr>
      </w:pPr>
      <w:r w:rsidRPr="00EC30D1">
        <w:rPr>
          <w:sz w:val="22"/>
        </w:rPr>
        <w:t xml:space="preserve">If one of the tenants holds a Starter or other non-qualifying tenancy </w:t>
      </w:r>
    </w:p>
    <w:p w14:paraId="531D8711" w14:textId="3A4A90EA" w:rsidR="00EC30D1" w:rsidRPr="00EC30D1" w:rsidRDefault="00EC30D1" w:rsidP="0022000F">
      <w:pPr>
        <w:pStyle w:val="Level2"/>
        <w:numPr>
          <w:ilvl w:val="2"/>
          <w:numId w:val="29"/>
        </w:numPr>
        <w:rPr>
          <w:sz w:val="22"/>
        </w:rPr>
      </w:pPr>
      <w:r w:rsidRPr="00EC30D1">
        <w:rPr>
          <w:sz w:val="22"/>
        </w:rPr>
        <w:t>If the incoming tenant has been excluded for housing by West Kent</w:t>
      </w:r>
    </w:p>
    <w:p w14:paraId="2ED36E78" w14:textId="32EA61D4" w:rsidR="00EC30D1" w:rsidRPr="00EC30D1" w:rsidRDefault="00EC30D1" w:rsidP="0022000F">
      <w:pPr>
        <w:pStyle w:val="Level2"/>
        <w:numPr>
          <w:ilvl w:val="2"/>
          <w:numId w:val="29"/>
        </w:numPr>
        <w:rPr>
          <w:sz w:val="22"/>
        </w:rPr>
      </w:pPr>
      <w:r w:rsidRPr="00EC30D1">
        <w:rPr>
          <w:sz w:val="22"/>
        </w:rPr>
        <w:t xml:space="preserve">If there is an ongoing breach of Tenancy Conditions, we may refuse the exchange or approve subject to conditions being met. </w:t>
      </w:r>
    </w:p>
    <w:p w14:paraId="0041BC87" w14:textId="0B1F08C4" w:rsidR="00EC30D1" w:rsidRPr="00EC30D1" w:rsidRDefault="00EC30D1" w:rsidP="0022000F">
      <w:pPr>
        <w:pStyle w:val="Level2"/>
        <w:numPr>
          <w:ilvl w:val="2"/>
          <w:numId w:val="29"/>
        </w:numPr>
        <w:rPr>
          <w:sz w:val="22"/>
        </w:rPr>
      </w:pPr>
      <w:r w:rsidRPr="00EC30D1">
        <w:rPr>
          <w:sz w:val="22"/>
        </w:rPr>
        <w:lastRenderedPageBreak/>
        <w:t>If a property is found to be unaffordable by either party.</w:t>
      </w:r>
    </w:p>
    <w:p w14:paraId="62BA5C78" w14:textId="77777777" w:rsidR="00EC30D1" w:rsidRDefault="00EC30D1" w:rsidP="0022000F">
      <w:pPr>
        <w:pStyle w:val="Level2"/>
        <w:numPr>
          <w:ilvl w:val="2"/>
          <w:numId w:val="29"/>
        </w:numPr>
        <w:rPr>
          <w:sz w:val="22"/>
        </w:rPr>
      </w:pPr>
      <w:r w:rsidRPr="00EC30D1">
        <w:rPr>
          <w:sz w:val="22"/>
        </w:rPr>
        <w:t xml:space="preserve">If an exchange would result in our property becoming under occupied or over-occupied. </w:t>
      </w:r>
    </w:p>
    <w:p w14:paraId="0D222639" w14:textId="4FFE1D64" w:rsidR="00EC30D1" w:rsidRDefault="00EC30D1" w:rsidP="0022000F">
      <w:pPr>
        <w:pStyle w:val="Level2"/>
        <w:numPr>
          <w:ilvl w:val="2"/>
          <w:numId w:val="29"/>
        </w:numPr>
        <w:rPr>
          <w:sz w:val="22"/>
        </w:rPr>
      </w:pPr>
      <w:r w:rsidRPr="00EC30D1">
        <w:rPr>
          <w:sz w:val="22"/>
        </w:rPr>
        <w:t>If we have reason to believe that any tenant has offered or sought a financial incentive as a condition of the exchange.</w:t>
      </w:r>
    </w:p>
    <w:p w14:paraId="489A2092" w14:textId="3966CA02" w:rsidR="00EC30D1" w:rsidRDefault="00EC30D1" w:rsidP="0022000F">
      <w:pPr>
        <w:pStyle w:val="Level2"/>
        <w:numPr>
          <w:ilvl w:val="0"/>
          <w:numId w:val="30"/>
        </w:numPr>
        <w:rPr>
          <w:b/>
          <w:bCs/>
          <w:sz w:val="22"/>
        </w:rPr>
      </w:pPr>
      <w:r w:rsidRPr="00EC30D1">
        <w:rPr>
          <w:b/>
          <w:bCs/>
          <w:sz w:val="22"/>
        </w:rPr>
        <w:t>Under Occupancy and Over Occupancy</w:t>
      </w:r>
    </w:p>
    <w:p w14:paraId="72D46881" w14:textId="2B6989AC" w:rsidR="0022000F" w:rsidRPr="006F1743" w:rsidRDefault="0022000F" w:rsidP="0022000F">
      <w:pPr>
        <w:pStyle w:val="Level2"/>
        <w:numPr>
          <w:ilvl w:val="0"/>
          <w:numId w:val="0"/>
        </w:numPr>
        <w:jc w:val="left"/>
        <w:rPr>
          <w:w w:val="105"/>
          <w:sz w:val="22"/>
        </w:rPr>
      </w:pPr>
      <w:r>
        <w:rPr>
          <w:sz w:val="22"/>
        </w:rPr>
        <w:t xml:space="preserve">9.1 </w:t>
      </w:r>
      <w:r w:rsidRPr="006F1743">
        <w:rPr>
          <w:sz w:val="22"/>
        </w:rPr>
        <w:t>As discussed above in Section 11.2.3 Schedule 3 of Housing Act 1985 states a Mutual Exchange may be refused if: The</w:t>
      </w:r>
      <w:r w:rsidRPr="006F1743">
        <w:rPr>
          <w:spacing w:val="-4"/>
          <w:sz w:val="22"/>
        </w:rPr>
        <w:t xml:space="preserve"> </w:t>
      </w:r>
      <w:r w:rsidRPr="006F1743">
        <w:rPr>
          <w:sz w:val="22"/>
        </w:rPr>
        <w:t>property</w:t>
      </w:r>
      <w:r w:rsidRPr="006F1743">
        <w:rPr>
          <w:spacing w:val="-4"/>
          <w:sz w:val="22"/>
        </w:rPr>
        <w:t xml:space="preserve"> </w:t>
      </w:r>
      <w:r w:rsidRPr="006F1743">
        <w:rPr>
          <w:sz w:val="22"/>
        </w:rPr>
        <w:t>is</w:t>
      </w:r>
      <w:r w:rsidRPr="006F1743">
        <w:rPr>
          <w:spacing w:val="-20"/>
          <w:sz w:val="22"/>
        </w:rPr>
        <w:t xml:space="preserve"> </w:t>
      </w:r>
      <w:r w:rsidRPr="006F1743">
        <w:rPr>
          <w:sz w:val="22"/>
        </w:rPr>
        <w:t>‘substantially</w:t>
      </w:r>
      <w:r w:rsidRPr="006F1743">
        <w:rPr>
          <w:spacing w:val="-4"/>
          <w:sz w:val="22"/>
        </w:rPr>
        <w:t xml:space="preserve"> </w:t>
      </w:r>
      <w:r w:rsidRPr="006F1743">
        <w:rPr>
          <w:sz w:val="22"/>
        </w:rPr>
        <w:t>larger’</w:t>
      </w:r>
      <w:r w:rsidRPr="006F1743">
        <w:rPr>
          <w:spacing w:val="-17"/>
          <w:sz w:val="22"/>
        </w:rPr>
        <w:t xml:space="preserve"> </w:t>
      </w:r>
      <w:r w:rsidRPr="006F1743">
        <w:rPr>
          <w:sz w:val="22"/>
        </w:rPr>
        <w:t>than</w:t>
      </w:r>
      <w:r w:rsidRPr="006F1743">
        <w:rPr>
          <w:spacing w:val="-4"/>
          <w:sz w:val="22"/>
        </w:rPr>
        <w:t xml:space="preserve"> </w:t>
      </w:r>
      <w:r w:rsidRPr="006F1743">
        <w:rPr>
          <w:sz w:val="22"/>
        </w:rPr>
        <w:t>is</w:t>
      </w:r>
      <w:r w:rsidRPr="006F1743">
        <w:rPr>
          <w:spacing w:val="-4"/>
          <w:sz w:val="22"/>
        </w:rPr>
        <w:t xml:space="preserve"> </w:t>
      </w:r>
      <w:r w:rsidRPr="006F1743">
        <w:rPr>
          <w:sz w:val="22"/>
        </w:rPr>
        <w:t>required</w:t>
      </w:r>
      <w:r w:rsidRPr="006F1743">
        <w:rPr>
          <w:spacing w:val="-4"/>
          <w:sz w:val="22"/>
        </w:rPr>
        <w:t xml:space="preserve"> </w:t>
      </w:r>
      <w:r w:rsidRPr="006F1743">
        <w:rPr>
          <w:sz w:val="22"/>
        </w:rPr>
        <w:t>by</w:t>
      </w:r>
      <w:r w:rsidRPr="006F1743">
        <w:rPr>
          <w:spacing w:val="-4"/>
          <w:sz w:val="22"/>
        </w:rPr>
        <w:t xml:space="preserve"> </w:t>
      </w:r>
      <w:r w:rsidRPr="006F1743">
        <w:rPr>
          <w:sz w:val="22"/>
        </w:rPr>
        <w:t>the</w:t>
      </w:r>
      <w:r w:rsidRPr="006F1743">
        <w:rPr>
          <w:spacing w:val="-4"/>
          <w:sz w:val="22"/>
        </w:rPr>
        <w:t xml:space="preserve"> </w:t>
      </w:r>
      <w:r w:rsidRPr="006F1743">
        <w:rPr>
          <w:sz w:val="22"/>
        </w:rPr>
        <w:t>incoming</w:t>
      </w:r>
      <w:r w:rsidRPr="006F1743">
        <w:rPr>
          <w:spacing w:val="-4"/>
          <w:sz w:val="22"/>
        </w:rPr>
        <w:t xml:space="preserve"> </w:t>
      </w:r>
      <w:r w:rsidRPr="006F1743">
        <w:rPr>
          <w:sz w:val="22"/>
        </w:rPr>
        <w:t>tenant.</w:t>
      </w:r>
    </w:p>
    <w:p w14:paraId="59BA08D6" w14:textId="69124D2F" w:rsidR="0022000F" w:rsidRPr="006F1743" w:rsidRDefault="0022000F" w:rsidP="0022000F">
      <w:pPr>
        <w:pStyle w:val="Level2"/>
        <w:numPr>
          <w:ilvl w:val="0"/>
          <w:numId w:val="0"/>
        </w:numPr>
        <w:jc w:val="left"/>
        <w:rPr>
          <w:w w:val="105"/>
          <w:sz w:val="22"/>
        </w:rPr>
      </w:pPr>
      <w:r>
        <w:rPr>
          <w:sz w:val="22"/>
        </w:rPr>
        <w:t xml:space="preserve">9.2 </w:t>
      </w:r>
      <w:r w:rsidRPr="006F1743">
        <w:rPr>
          <w:sz w:val="22"/>
        </w:rPr>
        <w:t xml:space="preserve">West Kent will class a property as being substantially over occupied if it would be over occupied by 1 or more bedspaces as recognised by the Local Authority </w:t>
      </w:r>
      <w:r w:rsidRPr="006F1743">
        <w:rPr>
          <w:w w:val="105"/>
          <w:sz w:val="22"/>
        </w:rPr>
        <w:t>Housing Register.</w:t>
      </w:r>
    </w:p>
    <w:p w14:paraId="69F9EE7A" w14:textId="53E2266A" w:rsidR="00EC30D1" w:rsidRDefault="0022000F" w:rsidP="0022000F">
      <w:pPr>
        <w:pStyle w:val="Level2"/>
        <w:numPr>
          <w:ilvl w:val="0"/>
          <w:numId w:val="0"/>
        </w:numPr>
        <w:rPr>
          <w:sz w:val="22"/>
        </w:rPr>
      </w:pPr>
      <w:r>
        <w:rPr>
          <w:sz w:val="22"/>
        </w:rPr>
        <w:t xml:space="preserve">9.3 </w:t>
      </w:r>
      <w:r w:rsidRPr="006F1743">
        <w:rPr>
          <w:sz w:val="22"/>
        </w:rPr>
        <w:t>West Kent will class a property as being substantially under occupied if there will be 1 or more bedrooms that will not be occupied by a permanent named occupant of the property, cohabiting couples will be expected to share a bedroom unless there is a proven medical need for separate bedrooms.</w:t>
      </w:r>
    </w:p>
    <w:p w14:paraId="0470572F" w14:textId="77777777" w:rsidR="0019755B" w:rsidRDefault="0019755B" w:rsidP="0022000F">
      <w:pPr>
        <w:pStyle w:val="Level2"/>
        <w:numPr>
          <w:ilvl w:val="0"/>
          <w:numId w:val="0"/>
        </w:numPr>
        <w:rPr>
          <w:sz w:val="22"/>
        </w:rPr>
      </w:pPr>
    </w:p>
    <w:p w14:paraId="185C0C11" w14:textId="6466B1A2" w:rsidR="0022000F" w:rsidRPr="0022000F" w:rsidRDefault="0022000F" w:rsidP="0022000F">
      <w:pPr>
        <w:pStyle w:val="Level2"/>
        <w:numPr>
          <w:ilvl w:val="0"/>
          <w:numId w:val="0"/>
        </w:numPr>
        <w:rPr>
          <w:b/>
          <w:bCs/>
          <w:sz w:val="22"/>
        </w:rPr>
      </w:pPr>
      <w:r w:rsidRPr="0022000F">
        <w:rPr>
          <w:b/>
          <w:bCs/>
          <w:sz w:val="22"/>
        </w:rPr>
        <w:t>1</w:t>
      </w:r>
      <w:r>
        <w:rPr>
          <w:b/>
          <w:bCs/>
          <w:sz w:val="22"/>
        </w:rPr>
        <w:t>0</w:t>
      </w:r>
      <w:r w:rsidRPr="0022000F">
        <w:rPr>
          <w:b/>
          <w:bCs/>
          <w:sz w:val="22"/>
        </w:rPr>
        <w:t>.0 Complaints and Appeals</w:t>
      </w:r>
    </w:p>
    <w:p w14:paraId="0B3FDF75" w14:textId="3091FB60" w:rsidR="0022000F" w:rsidRDefault="0022000F" w:rsidP="0022000F">
      <w:pPr>
        <w:pStyle w:val="Level2"/>
        <w:numPr>
          <w:ilvl w:val="0"/>
          <w:numId w:val="0"/>
        </w:numPr>
        <w:rPr>
          <w:sz w:val="22"/>
        </w:rPr>
      </w:pPr>
      <w:r>
        <w:rPr>
          <w:sz w:val="22"/>
        </w:rPr>
        <w:t xml:space="preserve">10.1 </w:t>
      </w:r>
      <w:r w:rsidRPr="0022000F">
        <w:rPr>
          <w:sz w:val="22"/>
        </w:rPr>
        <w:t xml:space="preserve">Any complaints relating to this policy, its implementation or its operation will be managed in line with </w:t>
      </w:r>
      <w:proofErr w:type="gramStart"/>
      <w:r w:rsidRPr="0022000F">
        <w:rPr>
          <w:sz w:val="22"/>
        </w:rPr>
        <w:t>either our</w:t>
      </w:r>
      <w:proofErr w:type="gramEnd"/>
      <w:r w:rsidRPr="0022000F">
        <w:rPr>
          <w:sz w:val="22"/>
        </w:rPr>
        <w:t xml:space="preserve"> complaints procedures as appropriate. There is no appeals process, as Mutual Exchange is a stator service.</w:t>
      </w:r>
    </w:p>
    <w:p w14:paraId="169BE8C7" w14:textId="77777777" w:rsidR="0022000F" w:rsidRPr="0022000F" w:rsidRDefault="0022000F" w:rsidP="0022000F">
      <w:pPr>
        <w:pStyle w:val="Level2"/>
        <w:numPr>
          <w:ilvl w:val="0"/>
          <w:numId w:val="0"/>
        </w:numPr>
        <w:rPr>
          <w:sz w:val="22"/>
        </w:rPr>
      </w:pPr>
    </w:p>
    <w:p w14:paraId="3D3765E3" w14:textId="1E696F19" w:rsidR="00CE2902" w:rsidRPr="00FA2552" w:rsidRDefault="003F28D9" w:rsidP="00EC30D1">
      <w:pPr>
        <w:pStyle w:val="Level2"/>
        <w:numPr>
          <w:ilvl w:val="0"/>
          <w:numId w:val="0"/>
        </w:numPr>
        <w:rPr>
          <w:rStyle w:val="Level1asheadingtext"/>
          <w:b w:val="0"/>
          <w:sz w:val="22"/>
        </w:rPr>
      </w:pPr>
      <w:r>
        <w:rPr>
          <w:b/>
          <w:bCs/>
          <w:sz w:val="22"/>
        </w:rPr>
        <w:t>11</w:t>
      </w:r>
      <w:r w:rsidR="00FA2552" w:rsidRPr="00FA2552">
        <w:rPr>
          <w:b/>
          <w:bCs/>
          <w:sz w:val="22"/>
        </w:rPr>
        <w:t>.0</w:t>
      </w:r>
      <w:r w:rsidR="00FA2552">
        <w:rPr>
          <w:sz w:val="22"/>
        </w:rPr>
        <w:t xml:space="preserve"> </w:t>
      </w:r>
      <w:r w:rsidR="00CE2902" w:rsidRPr="00FA2552">
        <w:rPr>
          <w:rStyle w:val="Level1asheadingtext"/>
          <w:sz w:val="22"/>
        </w:rPr>
        <w:t>Regulation</w:t>
      </w:r>
    </w:p>
    <w:p w14:paraId="5B94735B" w14:textId="2130BFBC" w:rsidR="00FA2552" w:rsidRPr="00FA2552" w:rsidRDefault="003F28D9" w:rsidP="00FA2552">
      <w:pPr>
        <w:pStyle w:val="Level2"/>
        <w:numPr>
          <w:ilvl w:val="0"/>
          <w:numId w:val="0"/>
        </w:numPr>
        <w:ind w:left="992" w:hanging="992"/>
        <w:rPr>
          <w:sz w:val="22"/>
        </w:rPr>
      </w:pPr>
      <w:r>
        <w:rPr>
          <w:sz w:val="22"/>
        </w:rPr>
        <w:t xml:space="preserve">11.1 </w:t>
      </w:r>
      <w:r w:rsidR="00FA2552" w:rsidRPr="00FA2552">
        <w:rPr>
          <w:sz w:val="22"/>
        </w:rPr>
        <w:t>The following legislation applies to the management of Mutual Exchanges:</w:t>
      </w:r>
    </w:p>
    <w:p w14:paraId="691A4FE2" w14:textId="77777777" w:rsidR="00FA2552" w:rsidRPr="00FA2552" w:rsidRDefault="00FA2552" w:rsidP="00FA2552">
      <w:pPr>
        <w:pStyle w:val="Level2"/>
        <w:numPr>
          <w:ilvl w:val="0"/>
          <w:numId w:val="16"/>
        </w:numPr>
        <w:rPr>
          <w:sz w:val="22"/>
        </w:rPr>
      </w:pPr>
      <w:r w:rsidRPr="00FA2552">
        <w:rPr>
          <w:sz w:val="22"/>
        </w:rPr>
        <w:t>Schedule 3 of the Housing Act 1985</w:t>
      </w:r>
    </w:p>
    <w:p w14:paraId="31778B89" w14:textId="77777777" w:rsidR="00FA2552" w:rsidRPr="00FA2552" w:rsidRDefault="00FA2552" w:rsidP="00FA2552">
      <w:pPr>
        <w:pStyle w:val="Level2"/>
        <w:numPr>
          <w:ilvl w:val="0"/>
          <w:numId w:val="16"/>
        </w:numPr>
        <w:rPr>
          <w:sz w:val="22"/>
        </w:rPr>
      </w:pPr>
      <w:r w:rsidRPr="00FA2552">
        <w:rPr>
          <w:sz w:val="22"/>
        </w:rPr>
        <w:t>Section 106</w:t>
      </w:r>
    </w:p>
    <w:p w14:paraId="5230D8F7" w14:textId="77777777" w:rsidR="00FA2552" w:rsidRPr="00FA2552" w:rsidRDefault="00FA2552" w:rsidP="00FA2552">
      <w:pPr>
        <w:pStyle w:val="Level2"/>
        <w:numPr>
          <w:ilvl w:val="0"/>
          <w:numId w:val="16"/>
        </w:numPr>
        <w:rPr>
          <w:sz w:val="22"/>
        </w:rPr>
      </w:pPr>
      <w:r w:rsidRPr="00FA2552">
        <w:rPr>
          <w:sz w:val="22"/>
        </w:rPr>
        <w:t>Housing Act 2004</w:t>
      </w:r>
    </w:p>
    <w:p w14:paraId="37005F89" w14:textId="77777777" w:rsidR="00FA2552" w:rsidRPr="00FA2552" w:rsidRDefault="00FA2552" w:rsidP="00FA2552">
      <w:pPr>
        <w:pStyle w:val="Level2"/>
        <w:numPr>
          <w:ilvl w:val="0"/>
          <w:numId w:val="16"/>
        </w:numPr>
        <w:rPr>
          <w:sz w:val="22"/>
        </w:rPr>
      </w:pPr>
      <w:r w:rsidRPr="00FA2552">
        <w:rPr>
          <w:sz w:val="22"/>
        </w:rPr>
        <w:t>Localism Act 2011</w:t>
      </w:r>
    </w:p>
    <w:p w14:paraId="5DC0177E" w14:textId="77777777" w:rsidR="00EF0CA2" w:rsidRDefault="00EF0CA2" w:rsidP="00521C44">
      <w:pPr>
        <w:rPr>
          <w:rFonts w:ascii="Arial" w:hAnsi="Arial" w:cs="Arial"/>
        </w:rPr>
      </w:pPr>
    </w:p>
    <w:p w14:paraId="71CAB511" w14:textId="13F55CC2" w:rsidR="0022000F" w:rsidRPr="00BB102E" w:rsidRDefault="003F28D9" w:rsidP="003F28D9">
      <w:pPr>
        <w:pStyle w:val="Level1"/>
        <w:keepNext/>
        <w:numPr>
          <w:ilvl w:val="0"/>
          <w:numId w:val="0"/>
        </w:numPr>
        <w:rPr>
          <w:rStyle w:val="Level1asheadingtext"/>
          <w:b w:val="0"/>
          <w:sz w:val="22"/>
        </w:rPr>
      </w:pPr>
      <w:r>
        <w:rPr>
          <w:rStyle w:val="Level1asheadingtext"/>
          <w:sz w:val="22"/>
        </w:rPr>
        <w:lastRenderedPageBreak/>
        <w:t xml:space="preserve">12.0 </w:t>
      </w:r>
      <w:r w:rsidR="0022000F" w:rsidRPr="00BB102E">
        <w:rPr>
          <w:rStyle w:val="Level1asheadingtext"/>
          <w:sz w:val="22"/>
        </w:rPr>
        <w:t>Re</w:t>
      </w:r>
      <w:r w:rsidR="0022000F">
        <w:rPr>
          <w:rStyle w:val="Level1asheadingtext"/>
          <w:sz w:val="22"/>
        </w:rPr>
        <w:t>porting</w:t>
      </w:r>
    </w:p>
    <w:p w14:paraId="0891358E" w14:textId="56B844B5" w:rsidR="0022000F" w:rsidRPr="00EC30D1" w:rsidRDefault="003F28D9" w:rsidP="0022000F">
      <w:pPr>
        <w:pStyle w:val="Level1"/>
        <w:keepNext/>
        <w:numPr>
          <w:ilvl w:val="0"/>
          <w:numId w:val="0"/>
        </w:numPr>
        <w:rPr>
          <w:sz w:val="22"/>
        </w:rPr>
      </w:pPr>
      <w:r>
        <w:rPr>
          <w:sz w:val="22"/>
        </w:rPr>
        <w:t>12</w:t>
      </w:r>
      <w:r w:rsidR="0022000F">
        <w:rPr>
          <w:sz w:val="22"/>
        </w:rPr>
        <w:t xml:space="preserve">.1 </w:t>
      </w:r>
      <w:r w:rsidR="0022000F" w:rsidRPr="00EC30D1">
        <w:rPr>
          <w:sz w:val="22"/>
        </w:rPr>
        <w:t>The Head of Voids &amp; Lettings will monitor monthly compliance with the statutory 42-day deadline for decisions on mutual exchange.</w:t>
      </w:r>
    </w:p>
    <w:p w14:paraId="04920B5E" w14:textId="45EFF1E6" w:rsidR="0022000F" w:rsidRDefault="003F28D9" w:rsidP="0022000F">
      <w:pPr>
        <w:pStyle w:val="Level1"/>
        <w:keepNext/>
        <w:numPr>
          <w:ilvl w:val="0"/>
          <w:numId w:val="0"/>
        </w:numPr>
        <w:rPr>
          <w:sz w:val="22"/>
        </w:rPr>
      </w:pPr>
      <w:r>
        <w:rPr>
          <w:sz w:val="22"/>
        </w:rPr>
        <w:t>12</w:t>
      </w:r>
      <w:r w:rsidR="0022000F">
        <w:rPr>
          <w:sz w:val="22"/>
        </w:rPr>
        <w:t xml:space="preserve">.2 </w:t>
      </w:r>
      <w:r w:rsidR="0022000F" w:rsidRPr="00EC30D1">
        <w:rPr>
          <w:sz w:val="22"/>
        </w:rPr>
        <w:t xml:space="preserve">The Head of Voids &amp; lettings will monitor compliance with all legislative requirements of the mutual exchange process. </w:t>
      </w:r>
    </w:p>
    <w:p w14:paraId="01375EED" w14:textId="77777777" w:rsidR="0019755B" w:rsidRPr="0022000F" w:rsidRDefault="0019755B" w:rsidP="0022000F">
      <w:pPr>
        <w:pStyle w:val="Level1"/>
        <w:keepNext/>
        <w:numPr>
          <w:ilvl w:val="0"/>
          <w:numId w:val="0"/>
        </w:numPr>
        <w:rPr>
          <w:rStyle w:val="Level1asheadingtext"/>
          <w:b w:val="0"/>
          <w:sz w:val="22"/>
        </w:rPr>
      </w:pPr>
    </w:p>
    <w:p w14:paraId="0320E674" w14:textId="0CF6103E" w:rsidR="009A1ABB" w:rsidRPr="00E150EB" w:rsidRDefault="003F28D9" w:rsidP="0022000F">
      <w:pPr>
        <w:pStyle w:val="Level1"/>
        <w:keepNext/>
        <w:numPr>
          <w:ilvl w:val="0"/>
          <w:numId w:val="0"/>
        </w:numPr>
        <w:ind w:left="992" w:hanging="992"/>
        <w:rPr>
          <w:rStyle w:val="Level1asheadingtext"/>
          <w:b w:val="0"/>
          <w:sz w:val="22"/>
        </w:rPr>
      </w:pPr>
      <w:r>
        <w:rPr>
          <w:rStyle w:val="Level1asheadingtext"/>
          <w:sz w:val="22"/>
        </w:rPr>
        <w:t xml:space="preserve">13.0 </w:t>
      </w:r>
      <w:r w:rsidR="009A1ABB" w:rsidRPr="00E150EB">
        <w:rPr>
          <w:rStyle w:val="Level1asheadingtext"/>
          <w:sz w:val="22"/>
        </w:rPr>
        <w:t>Consultation</w:t>
      </w:r>
    </w:p>
    <w:p w14:paraId="1AFE758F" w14:textId="36C6CF39" w:rsidR="009A1ABB" w:rsidRPr="00E150EB" w:rsidRDefault="003F28D9" w:rsidP="0022000F">
      <w:pPr>
        <w:pStyle w:val="Level1"/>
        <w:keepNext/>
        <w:numPr>
          <w:ilvl w:val="0"/>
          <w:numId w:val="0"/>
        </w:numPr>
        <w:spacing w:after="120"/>
        <w:rPr>
          <w:sz w:val="22"/>
        </w:rPr>
      </w:pPr>
      <w:r>
        <w:rPr>
          <w:sz w:val="22"/>
        </w:rPr>
        <w:t xml:space="preserve">13.1 </w:t>
      </w:r>
      <w:r w:rsidR="0022000F" w:rsidRPr="0022000F">
        <w:rPr>
          <w:sz w:val="22"/>
        </w:rPr>
        <w:t>We will carry out a resident’s consultation exercise for any significant review and/or</w:t>
      </w:r>
      <w:r w:rsidR="0022000F">
        <w:rPr>
          <w:sz w:val="22"/>
        </w:rPr>
        <w:t xml:space="preserve"> </w:t>
      </w:r>
      <w:r w:rsidR="0022000F" w:rsidRPr="0022000F">
        <w:rPr>
          <w:sz w:val="22"/>
        </w:rPr>
        <w:t>amendment to the Mutual Exchange Policy and, where appropriate will seek comments and views from interested parties and affected parties.  All appropriate and relevant comments and views formally expressed and submitted to us as part of the consultation exercise will be considered by the appropriate teams.</w:t>
      </w:r>
    </w:p>
    <w:p w14:paraId="2B92A0F0" w14:textId="5C414AEB" w:rsidR="00521C44" w:rsidRDefault="00521C44" w:rsidP="00521C44">
      <w:pPr>
        <w:rPr>
          <w:rFonts w:ascii="Arial" w:hAnsi="Arial" w:cs="Arial"/>
        </w:rPr>
      </w:pPr>
    </w:p>
    <w:p w14:paraId="2F7F4E3F" w14:textId="4FDE49F2" w:rsidR="0043268A" w:rsidRPr="00A67083" w:rsidRDefault="0043268A">
      <w:pPr>
        <w:rPr>
          <w:rFonts w:ascii="Arial" w:hAnsi="Arial" w:cs="Arial"/>
          <w:b/>
          <w:bCs/>
        </w:rPr>
      </w:pPr>
    </w:p>
    <w:sectPr w:rsidR="0043268A" w:rsidRPr="00A67083" w:rsidSect="009D21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EE70" w14:textId="77777777" w:rsidR="00391A60" w:rsidRDefault="00391A60" w:rsidP="008B4AC5">
      <w:pPr>
        <w:spacing w:after="0" w:line="240" w:lineRule="auto"/>
      </w:pPr>
      <w:r>
        <w:separator/>
      </w:r>
    </w:p>
  </w:endnote>
  <w:endnote w:type="continuationSeparator" w:id="0">
    <w:p w14:paraId="62E701ED" w14:textId="77777777" w:rsidR="00391A60" w:rsidRDefault="00391A60"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E620" w14:textId="77777777" w:rsidR="00FA2552" w:rsidRDefault="00FA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3D9580DB"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FA2552">
      <w:rPr>
        <w:rFonts w:ascii="Arial" w:eastAsia="Arial" w:hAnsi="Arial" w:cs="Arial"/>
        <w:sz w:val="20"/>
        <w:szCs w:val="20"/>
      </w:rPr>
      <w:t>1</w:t>
    </w:r>
    <w:r w:rsidR="00473AFF" w:rsidRPr="00B03DFC">
      <w:rPr>
        <w:rFonts w:ascii="Arial" w:hAnsi="Arial" w:cs="Arial"/>
        <w:sz w:val="20"/>
        <w:szCs w:val="20"/>
      </w:rPr>
      <w:tab/>
    </w:r>
    <w:r w:rsidR="00FA2552">
      <w:rPr>
        <w:rFonts w:ascii="Arial" w:hAnsi="Arial" w:cs="Arial"/>
        <w:sz w:val="20"/>
        <w:szCs w:val="20"/>
      </w:rPr>
      <w:t xml:space="preserve">Mutual Exchange </w:t>
    </w:r>
    <w:r w:rsidRPr="00B03DFC">
      <w:rPr>
        <w:rFonts w:ascii="Arial" w:eastAsia="Arial" w:hAnsi="Arial" w:cs="Arial"/>
        <w:sz w:val="20"/>
        <w:szCs w:val="20"/>
      </w:rPr>
      <w:t>Polic</w:t>
    </w:r>
    <w:r w:rsidR="00FA2552">
      <w:rPr>
        <w:rFonts w:ascii="Arial" w:eastAsia="Arial" w:hAnsi="Arial" w:cs="Arial"/>
        <w:sz w:val="20"/>
        <w:szCs w:val="20"/>
      </w:rPr>
      <w:t>y</w:t>
    </w:r>
    <w:r w:rsidRPr="00B03DFC">
      <w:rPr>
        <w:rFonts w:ascii="Arial" w:eastAsia="Arial" w:hAnsi="Arial" w:cs="Arial"/>
        <w:sz w:val="20"/>
        <w:szCs w:val="20"/>
      </w:rPr>
      <w:t xml:space="preserve">                               </w:t>
    </w:r>
    <w:r w:rsidR="00473AFF" w:rsidRPr="00B03DFC">
      <w:rPr>
        <w:rFonts w:ascii="Arial" w:hAnsi="Arial" w:cs="Arial"/>
        <w:sz w:val="20"/>
        <w:szCs w:val="20"/>
      </w:rPr>
      <w:ptab w:relativeTo="margin" w:alignment="right" w:leader="none"/>
    </w:r>
    <w:r w:rsidR="00FA2552">
      <w:rPr>
        <w:rFonts w:ascii="Arial" w:eastAsia="Arial" w:hAnsi="Arial" w:cs="Arial"/>
        <w:sz w:val="20"/>
        <w:szCs w:val="20"/>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1FE0" w14:textId="77777777" w:rsidR="00FA2552" w:rsidRDefault="00FA2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512C" w14:textId="77777777" w:rsidR="00391A60" w:rsidRDefault="00391A60" w:rsidP="008B4AC5">
      <w:pPr>
        <w:spacing w:after="0" w:line="240" w:lineRule="auto"/>
      </w:pPr>
      <w:r>
        <w:separator/>
      </w:r>
    </w:p>
  </w:footnote>
  <w:footnote w:type="continuationSeparator" w:id="0">
    <w:p w14:paraId="50ED28E4" w14:textId="77777777" w:rsidR="00391A60" w:rsidRDefault="00391A60"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6A58" w14:textId="77777777" w:rsidR="00FA2552" w:rsidRDefault="00FA2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ACC8" w14:textId="77777777" w:rsidR="00FA2552" w:rsidRDefault="00FA2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66EC" w14:textId="77777777" w:rsidR="00FA2552" w:rsidRDefault="00FA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pt;height:169pt" o:bullet="t">
        <v:imagedata r:id="rId1" o:title="Empty Check Box"/>
      </v:shape>
    </w:pict>
  </w:numPicBullet>
  <w:abstractNum w:abstractNumId="0" w15:restartNumberingAfterBreak="0">
    <w:nsid w:val="00D17490"/>
    <w:multiLevelType w:val="hybridMultilevel"/>
    <w:tmpl w:val="33C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9CC"/>
    <w:multiLevelType w:val="multilevel"/>
    <w:tmpl w:val="CBC8348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B737CB8"/>
    <w:multiLevelType w:val="multilevel"/>
    <w:tmpl w:val="FF341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768A7"/>
    <w:multiLevelType w:val="multilevel"/>
    <w:tmpl w:val="51CED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55557"/>
    <w:multiLevelType w:val="multilevel"/>
    <w:tmpl w:val="407A0E5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60B50"/>
    <w:multiLevelType w:val="multilevel"/>
    <w:tmpl w:val="4B14B0D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71702"/>
    <w:multiLevelType w:val="multilevel"/>
    <w:tmpl w:val="9F449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794B13"/>
    <w:multiLevelType w:val="hybridMultilevel"/>
    <w:tmpl w:val="BCE0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F6948"/>
    <w:multiLevelType w:val="multilevel"/>
    <w:tmpl w:val="91B454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B858D7"/>
    <w:multiLevelType w:val="hybridMultilevel"/>
    <w:tmpl w:val="E70446A4"/>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44B4739C"/>
    <w:multiLevelType w:val="multilevel"/>
    <w:tmpl w:val="01EC3AB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4A817F21"/>
    <w:multiLevelType w:val="hybridMultilevel"/>
    <w:tmpl w:val="6F00E66A"/>
    <w:lvl w:ilvl="0" w:tplc="C30069D6">
      <w:start w:val="1"/>
      <w:numFmt w:val="upperLetter"/>
      <w:lvlText w:val="%1."/>
      <w:lvlJc w:val="left"/>
      <w:pPr>
        <w:ind w:left="720" w:hanging="360"/>
      </w:pPr>
      <w:rPr>
        <w:rFonts w:hint="default"/>
        <w:color w:val="58595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E8650F"/>
    <w:multiLevelType w:val="multilevel"/>
    <w:tmpl w:val="729C4150"/>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6832D72"/>
    <w:multiLevelType w:val="multilevel"/>
    <w:tmpl w:val="5454A4B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2F1F54"/>
    <w:multiLevelType w:val="multilevel"/>
    <w:tmpl w:val="9B5E074A"/>
    <w:lvl w:ilvl="0">
      <w:start w:val="12"/>
      <w:numFmt w:val="decimal"/>
      <w:lvlText w:val="%1."/>
      <w:lvlJc w:val="left"/>
      <w:pPr>
        <w:ind w:left="720" w:hanging="360"/>
      </w:pPr>
      <w:rPr>
        <w:rFonts w:hint="default"/>
      </w:rPr>
    </w:lvl>
    <w:lvl w:ilvl="1">
      <w:start w:val="1"/>
      <w:numFmt w:val="decimal"/>
      <w:isLgl/>
      <w:lvlText w:val="%1.%2"/>
      <w:lvlJc w:val="left"/>
      <w:pPr>
        <w:ind w:left="750" w:hanging="39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19" w15:restartNumberingAfterBreak="0">
    <w:nsid w:val="67544C40"/>
    <w:multiLevelType w:val="multilevel"/>
    <w:tmpl w:val="0302B37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DE378A3"/>
    <w:multiLevelType w:val="multilevel"/>
    <w:tmpl w:val="C10A501E"/>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714370DA"/>
    <w:multiLevelType w:val="multilevel"/>
    <w:tmpl w:val="62D627BE"/>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34867DA"/>
    <w:multiLevelType w:val="multilevel"/>
    <w:tmpl w:val="B822839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74144E"/>
    <w:multiLevelType w:val="multilevel"/>
    <w:tmpl w:val="696E1B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E14D9"/>
    <w:multiLevelType w:val="hybridMultilevel"/>
    <w:tmpl w:val="1452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F7068A"/>
    <w:multiLevelType w:val="multilevel"/>
    <w:tmpl w:val="25AA5CE4"/>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7D9A56C1"/>
    <w:multiLevelType w:val="multilevel"/>
    <w:tmpl w:val="8A542B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92893509">
    <w:abstractNumId w:val="1"/>
  </w:num>
  <w:num w:numId="2" w16cid:durableId="1347707901">
    <w:abstractNumId w:val="17"/>
  </w:num>
  <w:num w:numId="3" w16cid:durableId="1692873461">
    <w:abstractNumId w:val="20"/>
  </w:num>
  <w:num w:numId="4" w16cid:durableId="580482183">
    <w:abstractNumId w:val="11"/>
  </w:num>
  <w:num w:numId="5" w16cid:durableId="157501916">
    <w:abstractNumId w:val="20"/>
    <w:lvlOverride w:ilvl="0">
      <w:lvl w:ilvl="0">
        <w:start w:val="1"/>
        <w:numFmt w:val="decimal"/>
        <w:pStyle w:val="Level1"/>
        <w:lvlText w:val="%1"/>
        <w:lvlJc w:val="left"/>
        <w:pPr>
          <w:ind w:left="992" w:hanging="992"/>
        </w:pPr>
        <w:rPr>
          <w:b/>
          <w:bCs/>
          <w:color w:val="auto"/>
        </w:rPr>
      </w:lvl>
    </w:lvlOverride>
  </w:num>
  <w:num w:numId="6" w16cid:durableId="1237011929">
    <w:abstractNumId w:val="20"/>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9"/>
  </w:num>
  <w:num w:numId="8" w16cid:durableId="2054454039">
    <w:abstractNumId w:val="14"/>
  </w:num>
  <w:num w:numId="9" w16cid:durableId="600335146">
    <w:abstractNumId w:val="27"/>
  </w:num>
  <w:num w:numId="10" w16cid:durableId="1552690875">
    <w:abstractNumId w:val="3"/>
  </w:num>
  <w:num w:numId="11" w16cid:durableId="1533882436">
    <w:abstractNumId w:val="4"/>
  </w:num>
  <w:num w:numId="12" w16cid:durableId="1847787569">
    <w:abstractNumId w:val="25"/>
  </w:num>
  <w:num w:numId="13" w16cid:durableId="381104453">
    <w:abstractNumId w:val="2"/>
  </w:num>
  <w:num w:numId="14" w16cid:durableId="748844238">
    <w:abstractNumId w:val="16"/>
  </w:num>
  <w:num w:numId="15" w16cid:durableId="20280505">
    <w:abstractNumId w:val="7"/>
  </w:num>
  <w:num w:numId="16" w16cid:durableId="1149787413">
    <w:abstractNumId w:val="12"/>
  </w:num>
  <w:num w:numId="17" w16cid:durableId="151455623">
    <w:abstractNumId w:val="0"/>
  </w:num>
  <w:num w:numId="18" w16cid:durableId="1506019231">
    <w:abstractNumId w:val="23"/>
  </w:num>
  <w:num w:numId="19" w16cid:durableId="1877544270">
    <w:abstractNumId w:val="6"/>
  </w:num>
  <w:num w:numId="20" w16cid:durableId="62803002">
    <w:abstractNumId w:val="13"/>
  </w:num>
  <w:num w:numId="21" w16cid:durableId="1423142990">
    <w:abstractNumId w:val="10"/>
  </w:num>
  <w:num w:numId="22" w16cid:durableId="791286236">
    <w:abstractNumId w:val="24"/>
  </w:num>
  <w:num w:numId="23" w16cid:durableId="1204791">
    <w:abstractNumId w:val="26"/>
  </w:num>
  <w:num w:numId="24" w16cid:durableId="81486650">
    <w:abstractNumId w:val="21"/>
  </w:num>
  <w:num w:numId="25" w16cid:durableId="1494224309">
    <w:abstractNumId w:val="5"/>
  </w:num>
  <w:num w:numId="26" w16cid:durableId="741849">
    <w:abstractNumId w:val="8"/>
  </w:num>
  <w:num w:numId="27" w16cid:durableId="94717843">
    <w:abstractNumId w:val="18"/>
  </w:num>
  <w:num w:numId="28" w16cid:durableId="1935019078">
    <w:abstractNumId w:val="22"/>
  </w:num>
  <w:num w:numId="29" w16cid:durableId="1482309028">
    <w:abstractNumId w:val="19"/>
  </w:num>
  <w:num w:numId="30" w16cid:durableId="1916695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0096A"/>
    <w:rsid w:val="00011CF1"/>
    <w:rsid w:val="000B1862"/>
    <w:rsid w:val="001425DA"/>
    <w:rsid w:val="001754DF"/>
    <w:rsid w:val="0018603E"/>
    <w:rsid w:val="0019755B"/>
    <w:rsid w:val="001B3EE0"/>
    <w:rsid w:val="001B6B9A"/>
    <w:rsid w:val="001D73C9"/>
    <w:rsid w:val="00215D7B"/>
    <w:rsid w:val="0022000F"/>
    <w:rsid w:val="002E0CE6"/>
    <w:rsid w:val="00391A60"/>
    <w:rsid w:val="003F28D9"/>
    <w:rsid w:val="0043268A"/>
    <w:rsid w:val="00473AFF"/>
    <w:rsid w:val="004849F6"/>
    <w:rsid w:val="00487A1E"/>
    <w:rsid w:val="004A7B52"/>
    <w:rsid w:val="004B5368"/>
    <w:rsid w:val="005023F9"/>
    <w:rsid w:val="00521C44"/>
    <w:rsid w:val="00525174"/>
    <w:rsid w:val="0053134E"/>
    <w:rsid w:val="005A06A4"/>
    <w:rsid w:val="00607598"/>
    <w:rsid w:val="00617B65"/>
    <w:rsid w:val="006852E6"/>
    <w:rsid w:val="007078EF"/>
    <w:rsid w:val="0071215B"/>
    <w:rsid w:val="0079548F"/>
    <w:rsid w:val="007D404A"/>
    <w:rsid w:val="007E6C52"/>
    <w:rsid w:val="00800FA7"/>
    <w:rsid w:val="0083307E"/>
    <w:rsid w:val="00885E16"/>
    <w:rsid w:val="008B269D"/>
    <w:rsid w:val="008B4AC5"/>
    <w:rsid w:val="00955A8E"/>
    <w:rsid w:val="009976A5"/>
    <w:rsid w:val="009A1ABB"/>
    <w:rsid w:val="009C692A"/>
    <w:rsid w:val="009D2178"/>
    <w:rsid w:val="00A67083"/>
    <w:rsid w:val="00A82B28"/>
    <w:rsid w:val="00A90DDB"/>
    <w:rsid w:val="00AC61A3"/>
    <w:rsid w:val="00B03DFC"/>
    <w:rsid w:val="00B106AE"/>
    <w:rsid w:val="00B4741F"/>
    <w:rsid w:val="00B51DDC"/>
    <w:rsid w:val="00B60443"/>
    <w:rsid w:val="00BB102E"/>
    <w:rsid w:val="00BE5AFA"/>
    <w:rsid w:val="00C318A8"/>
    <w:rsid w:val="00CC3960"/>
    <w:rsid w:val="00CE2902"/>
    <w:rsid w:val="00DB0E62"/>
    <w:rsid w:val="00DE1F63"/>
    <w:rsid w:val="00E150EB"/>
    <w:rsid w:val="00E357B2"/>
    <w:rsid w:val="00E858D3"/>
    <w:rsid w:val="00E9362E"/>
    <w:rsid w:val="00EC30D1"/>
    <w:rsid w:val="00EC5217"/>
    <w:rsid w:val="00EF0CA2"/>
    <w:rsid w:val="00F533D5"/>
    <w:rsid w:val="00FA2552"/>
    <w:rsid w:val="00FA44E0"/>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1"/>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3"/>
      </w:numPr>
    </w:pPr>
  </w:style>
  <w:style w:type="paragraph" w:customStyle="1" w:styleId="Level1">
    <w:name w:val="Level 1"/>
    <w:basedOn w:val="Normal"/>
    <w:uiPriority w:val="1"/>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3"/>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3"/>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3"/>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3"/>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3"/>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3"/>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 w:type="paragraph" w:styleId="BodyText">
    <w:name w:val="Body Text"/>
    <w:basedOn w:val="Normal"/>
    <w:link w:val="BodyTextChar"/>
    <w:uiPriority w:val="1"/>
    <w:qFormat/>
    <w:rsid w:val="00FA2552"/>
    <w:pPr>
      <w:widowControl w:val="0"/>
      <w:autoSpaceDE w:val="0"/>
      <w:autoSpaceDN w:val="0"/>
      <w:spacing w:after="0" w:line="240" w:lineRule="auto"/>
    </w:pPr>
    <w:rPr>
      <w:rFonts w:ascii="Gill Sans MT" w:eastAsia="Gill Sans MT" w:hAnsi="Gill Sans MT" w:cs="Gill Sans MT"/>
      <w:kern w:val="0"/>
      <w:sz w:val="24"/>
      <w:szCs w:val="24"/>
      <w:lang w:val="en-US"/>
      <w14:ligatures w14:val="none"/>
    </w:rPr>
  </w:style>
  <w:style w:type="character" w:customStyle="1" w:styleId="BodyTextChar">
    <w:name w:val="Body Text Char"/>
    <w:basedOn w:val="DefaultParagraphFont"/>
    <w:link w:val="BodyText"/>
    <w:uiPriority w:val="1"/>
    <w:rsid w:val="00FA2552"/>
    <w:rPr>
      <w:rFonts w:ascii="Gill Sans MT" w:eastAsia="Gill Sans MT" w:hAnsi="Gill Sans MT" w:cs="Gill Sans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Props1.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2.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4.xml><?xml version="1.0" encoding="utf-8"?>
<ds:datastoreItem xmlns:ds="http://schemas.openxmlformats.org/officeDocument/2006/customXml" ds:itemID="{2F74FA8F-E710-42EA-ADE9-B158302606A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bb223dda-e798-43e9-98aa-ca3bab21cf10"/>
    <ds:schemaRef ds:uri="http://schemas.microsoft.com/office/infopath/2007/PartnerControls"/>
    <ds:schemaRef ds:uri="ad46e06c-2262-483d-9e89-1065d5b5e909"/>
    <ds:schemaRef ds:uri="http://purl.org/dc/dcmitype/"/>
    <ds:schemaRef ds:uri="http://purl.org/dc/elements/1.1/"/>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2</cp:revision>
  <dcterms:created xsi:type="dcterms:W3CDTF">2025-01-31T13:15:00Z</dcterms:created>
  <dcterms:modified xsi:type="dcterms:W3CDTF">2025-01-31T13:15:00Z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