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5B51" w14:textId="29BB2AF8" w:rsidR="00714DFA" w:rsidRPr="00DB67CE" w:rsidRDefault="00DB67CE">
      <w:pPr>
        <w:rPr>
          <w:rFonts w:ascii="Bierstadt Display" w:hAnsi="Bierstadt Display"/>
        </w:rPr>
      </w:pPr>
      <w:r w:rsidRPr="00DB67CE">
        <w:rPr>
          <w:rFonts w:ascii="Bierstadt Display" w:hAnsi="Bierstadt Display"/>
          <w:b/>
          <w:noProof/>
          <w:color w:val="FFFFFF"/>
          <w:sz w:val="36"/>
        </w:rPr>
        <w:drawing>
          <wp:anchor distT="0" distB="0" distL="114300" distR="114300" simplePos="0" relativeHeight="251658240" behindDoc="0" locked="0" layoutInCell="1" allowOverlap="1" wp14:anchorId="0C6C3321" wp14:editId="0A7E3C67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2955290" cy="1479550"/>
            <wp:effectExtent l="0" t="0" r="0" b="6350"/>
            <wp:wrapSquare wrapText="bothSides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B67CE" w:rsidRPr="00DB67CE" w14:paraId="01CDA88E" w14:textId="77777777" w:rsidTr="5FFC6078">
        <w:trPr>
          <w:trHeight w:val="300"/>
        </w:trPr>
        <w:tc>
          <w:tcPr>
            <w:tcW w:w="9314" w:type="dxa"/>
            <w:tcBorders>
              <w:top w:val="single" w:sz="4" w:space="0" w:color="auto"/>
            </w:tcBorders>
          </w:tcPr>
          <w:p w14:paraId="60E30F45" w14:textId="77777777" w:rsidR="00DB67CE" w:rsidRPr="00DB67CE" w:rsidRDefault="00DB67CE" w:rsidP="005F55BA">
            <w:pPr>
              <w:rPr>
                <w:rFonts w:ascii="Bierstadt Display" w:hAnsi="Bierstadt Display"/>
                <w:sz w:val="24"/>
              </w:rPr>
            </w:pPr>
            <w:bookmarkStart w:id="0" w:name="_Hlk117000108"/>
          </w:p>
        </w:tc>
      </w:tr>
      <w:tr w:rsidR="00DB67CE" w:rsidRPr="00DB67CE" w14:paraId="19722B42" w14:textId="77777777" w:rsidTr="5FFC6078">
        <w:trPr>
          <w:trHeight w:val="300"/>
        </w:trPr>
        <w:tc>
          <w:tcPr>
            <w:tcW w:w="9314" w:type="dxa"/>
          </w:tcPr>
          <w:p w14:paraId="49C804EF" w14:textId="26D91D73" w:rsidR="00DB67CE" w:rsidRPr="00DB67CE" w:rsidRDefault="002970B1" w:rsidP="005F55BA">
            <w:pPr>
              <w:jc w:val="center"/>
              <w:rPr>
                <w:rFonts w:ascii="Bierstadt Display" w:hAnsi="Bierstadt Display"/>
                <w:b/>
                <w:sz w:val="24"/>
                <w:szCs w:val="24"/>
              </w:rPr>
            </w:pPr>
            <w:bookmarkStart w:id="1" w:name="_Hlk164172887"/>
            <w:r>
              <w:rPr>
                <w:rFonts w:ascii="Bierstadt Display" w:hAnsi="Bierstadt Display"/>
                <w:b/>
                <w:sz w:val="24"/>
                <w:szCs w:val="24"/>
              </w:rPr>
              <w:t>Shared Ownership Allocation Statement (first come, first serve)</w:t>
            </w:r>
          </w:p>
        </w:tc>
      </w:tr>
      <w:bookmarkEnd w:id="0"/>
      <w:bookmarkEnd w:id="1"/>
      <w:tr w:rsidR="00DB67CE" w:rsidRPr="00DB67CE" w14:paraId="25901848" w14:textId="77777777" w:rsidTr="5FFC6078">
        <w:trPr>
          <w:trHeight w:val="300"/>
        </w:trPr>
        <w:tc>
          <w:tcPr>
            <w:tcW w:w="9314" w:type="dxa"/>
            <w:tcBorders>
              <w:bottom w:val="single" w:sz="4" w:space="0" w:color="auto"/>
            </w:tcBorders>
          </w:tcPr>
          <w:p w14:paraId="4BF232B5" w14:textId="77777777" w:rsidR="00DB67CE" w:rsidRPr="00DB67CE" w:rsidRDefault="00DB67CE" w:rsidP="005F55BA">
            <w:pPr>
              <w:rPr>
                <w:rFonts w:ascii="Bierstadt Display" w:hAnsi="Bierstadt Display"/>
                <w:sz w:val="24"/>
              </w:rPr>
            </w:pPr>
          </w:p>
        </w:tc>
      </w:tr>
    </w:tbl>
    <w:p w14:paraId="63CE28E0" w14:textId="0999C298" w:rsidR="000A53A7" w:rsidRPr="00DB67CE" w:rsidRDefault="000A53A7" w:rsidP="00DB67CE">
      <w:pPr>
        <w:rPr>
          <w:rFonts w:ascii="Bierstadt Display" w:hAnsi="Bierstadt Display" w:cs="Arial"/>
        </w:rPr>
      </w:pPr>
    </w:p>
    <w:tbl>
      <w:tblPr>
        <w:tblW w:w="929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295"/>
      </w:tblGrid>
      <w:tr w:rsidR="00DB67CE" w:rsidRPr="00DB67CE" w14:paraId="5F747D12" w14:textId="77777777" w:rsidTr="6441759A">
        <w:tc>
          <w:tcPr>
            <w:tcW w:w="9295" w:type="dxa"/>
          </w:tcPr>
          <w:p w14:paraId="1392EE1F" w14:textId="3E64433A" w:rsidR="003914AA" w:rsidRPr="003914AA" w:rsidRDefault="003914AA" w:rsidP="00CC4D9A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FC6078">
              <w:rPr>
                <w:rFonts w:ascii="Arial" w:hAnsi="Arial" w:cs="Arial"/>
                <w:b/>
                <w:bCs/>
                <w:sz w:val="22"/>
                <w:szCs w:val="22"/>
              </w:rPr>
              <w:t>Introduction</w:t>
            </w:r>
          </w:p>
          <w:p w14:paraId="44EE737F" w14:textId="37827F13" w:rsidR="5FFC6078" w:rsidRDefault="5FFC6078" w:rsidP="5FFC607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C053B2" w14:textId="1E41D962" w:rsidR="00CC4D9A" w:rsidRDefault="20211FA0" w:rsidP="00CC4D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  <w:r w:rsidRPr="4F1617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D9A" w:rsidRPr="5FFC6078">
              <w:rPr>
                <w:rFonts w:ascii="Arial" w:hAnsi="Arial" w:cs="Arial"/>
                <w:sz w:val="22"/>
                <w:szCs w:val="22"/>
              </w:rPr>
              <w:t xml:space="preserve">West Kent has adopted the below policy for first come, first serve for those wanting to purchase a shared ownership home with West Kent (both resales and new build) and where demand outweighs the number of homes available. </w:t>
            </w:r>
          </w:p>
          <w:p w14:paraId="0788B95D" w14:textId="3F5C8822" w:rsidR="5FFC6078" w:rsidRDefault="5FFC6078" w:rsidP="00B3536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87A15" w14:textId="4D89CF3D" w:rsidR="00B158F1" w:rsidRDefault="5E40ECEB" w:rsidP="00CC4D9A">
            <w:pPr>
              <w:jc w:val="both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color w:val="0B0C0C"/>
                <w:sz w:val="22"/>
                <w:szCs w:val="22"/>
              </w:rPr>
              <w:t>1.2</w:t>
            </w:r>
            <w:r w:rsidRPr="4F161716">
              <w:rPr>
                <w:rFonts w:ascii="Arial" w:hAnsi="Arial" w:cs="Arial"/>
                <w:color w:val="0B0C0C"/>
                <w:sz w:val="22"/>
                <w:szCs w:val="22"/>
              </w:rPr>
              <w:t xml:space="preserve"> </w:t>
            </w:r>
            <w:r w:rsidR="003433AA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To qualify for shared ownership </w:t>
            </w:r>
            <w:r w:rsidR="00CC4D9A" w:rsidRPr="5FFC6078">
              <w:rPr>
                <w:rFonts w:ascii="Arial" w:hAnsi="Arial" w:cs="Arial"/>
                <w:color w:val="0B0C0C"/>
                <w:sz w:val="22"/>
                <w:szCs w:val="22"/>
              </w:rPr>
              <w:t>have</w:t>
            </w:r>
            <w:r w:rsidR="003433AA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 must </w:t>
            </w:r>
            <w:r w:rsidR="00EA06BA">
              <w:rPr>
                <w:rFonts w:ascii="Arial" w:hAnsi="Arial" w:cs="Arial"/>
                <w:color w:val="0B0C0C"/>
                <w:sz w:val="22"/>
                <w:szCs w:val="22"/>
              </w:rPr>
              <w:t xml:space="preserve">have </w:t>
            </w:r>
            <w:r w:rsidR="00CC4D9A" w:rsidRPr="5FFC6078">
              <w:rPr>
                <w:rFonts w:ascii="Arial" w:hAnsi="Arial" w:cs="Arial"/>
                <w:color w:val="0B0C0C"/>
                <w:sz w:val="22"/>
                <w:szCs w:val="22"/>
              </w:rPr>
              <w:t>a gross household income of less than £80,000 (outside of London) and be otherwise unable to purchase a suitable property for your housing needs on the open market</w:t>
            </w:r>
            <w:r w:rsidR="00B158F1" w:rsidRPr="5FFC6078">
              <w:rPr>
                <w:rFonts w:ascii="Arial" w:hAnsi="Arial" w:cs="Arial"/>
                <w:color w:val="0B0C0C"/>
                <w:sz w:val="22"/>
                <w:szCs w:val="22"/>
              </w:rPr>
              <w:t>.</w:t>
            </w:r>
            <w:r w:rsidR="00CC4D9A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 The £80,000 also includes all family members over the age of 18 living in the home regardless of whether they will be on the mortgage/deeds of the home</w:t>
            </w:r>
            <w:r w:rsidR="00223078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. </w:t>
            </w:r>
          </w:p>
          <w:p w14:paraId="6B8E22C1" w14:textId="7BA3C1EE" w:rsidR="5FFC6078" w:rsidRDefault="5FFC6078" w:rsidP="00B3536F">
            <w:pPr>
              <w:spacing w:after="0"/>
              <w:jc w:val="both"/>
              <w:rPr>
                <w:rFonts w:ascii="Arial" w:hAnsi="Arial" w:cs="Arial"/>
                <w:color w:val="0B0C0C"/>
                <w:sz w:val="22"/>
                <w:szCs w:val="22"/>
              </w:rPr>
            </w:pPr>
          </w:p>
          <w:p w14:paraId="71C6CB31" w14:textId="3548601F" w:rsidR="00B20164" w:rsidRPr="003914AA" w:rsidRDefault="25287996" w:rsidP="00CC4D9A">
            <w:pPr>
              <w:jc w:val="both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color w:val="0B0C0C"/>
                <w:sz w:val="22"/>
                <w:szCs w:val="22"/>
              </w:rPr>
              <w:t>1.3</w:t>
            </w:r>
            <w:r w:rsidRPr="4F161716">
              <w:rPr>
                <w:rFonts w:ascii="Arial" w:hAnsi="Arial" w:cs="Arial"/>
                <w:color w:val="0B0C0C"/>
                <w:sz w:val="22"/>
                <w:szCs w:val="22"/>
              </w:rPr>
              <w:t xml:space="preserve"> </w:t>
            </w:r>
            <w:r w:rsidR="008C6027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An applicant cannot </w:t>
            </w:r>
            <w:r w:rsidR="00362CA2" w:rsidRPr="5FFC6078">
              <w:rPr>
                <w:rFonts w:ascii="Arial" w:hAnsi="Arial" w:cs="Arial"/>
                <w:color w:val="0B0C0C"/>
                <w:sz w:val="22"/>
                <w:szCs w:val="22"/>
              </w:rPr>
              <w:t>own or be on the deeds of another home in the UK or aboard</w:t>
            </w:r>
            <w:r w:rsidR="00F24F34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 </w:t>
            </w:r>
            <w:r w:rsidR="00A8467C" w:rsidRPr="5FFC6078">
              <w:rPr>
                <w:rFonts w:ascii="Arial" w:hAnsi="Arial" w:cs="Arial"/>
                <w:color w:val="0B0C0C"/>
                <w:sz w:val="22"/>
                <w:szCs w:val="22"/>
              </w:rPr>
              <w:t>and</w:t>
            </w:r>
            <w:r w:rsidR="00F24F34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 be eligible for shared ownership unless the home is sold or in the process of being sold. </w:t>
            </w:r>
            <w:r w:rsidR="00362CA2" w:rsidRPr="5FFC6078">
              <w:rPr>
                <w:rFonts w:ascii="Arial" w:hAnsi="Arial" w:cs="Arial"/>
                <w:color w:val="0B0C0C"/>
                <w:sz w:val="22"/>
                <w:szCs w:val="22"/>
              </w:rPr>
              <w:t xml:space="preserve">  </w:t>
            </w:r>
          </w:p>
          <w:p w14:paraId="45CAFBA2" w14:textId="796E2E20" w:rsidR="5FFC6078" w:rsidRDefault="5FFC6078" w:rsidP="5FFC60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F66904" w14:textId="061E1618" w:rsidR="00CC4D9A" w:rsidRPr="00B10ABD" w:rsidRDefault="003914AA" w:rsidP="644175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41759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C4D9A" w:rsidRPr="6441759A">
              <w:rPr>
                <w:rFonts w:ascii="Arial" w:hAnsi="Arial" w:cs="Arial"/>
                <w:b/>
                <w:bCs/>
                <w:sz w:val="22"/>
                <w:szCs w:val="22"/>
              </w:rPr>
              <w:t>. Allocation of a new build property will be based on the following:</w:t>
            </w:r>
          </w:p>
          <w:p w14:paraId="17C2B7ED" w14:textId="1171FFE2" w:rsidR="00CC4D9A" w:rsidRPr="00B10ABD" w:rsidRDefault="00CC4D9A" w:rsidP="00CC4D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4175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416ABFB" w14:textId="73B2EF8E" w:rsidR="00CC4D9A" w:rsidRPr="00B10ABD" w:rsidRDefault="1DCECF2D" w:rsidP="00CC4D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 </w:t>
            </w:r>
            <w:r w:rsidR="00CC4D9A" w:rsidRPr="5FFC6078">
              <w:rPr>
                <w:rFonts w:ascii="Arial" w:hAnsi="Arial" w:cs="Arial"/>
                <w:b/>
                <w:bCs/>
                <w:sz w:val="22"/>
                <w:szCs w:val="22"/>
              </w:rPr>
              <w:t>At point of a Passed Initial Financial Assessment</w:t>
            </w:r>
            <w:r w:rsidR="00CC4D9A" w:rsidRPr="5FFC6078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864071" w:rsidRPr="5FFC6078">
              <w:rPr>
                <w:rFonts w:ascii="Arial" w:hAnsi="Arial" w:cs="Arial"/>
                <w:sz w:val="22"/>
                <w:szCs w:val="22"/>
              </w:rPr>
              <w:t xml:space="preserve"> West Kent will </w:t>
            </w:r>
            <w:r w:rsidR="00CC4D9A" w:rsidRPr="5FFC6078">
              <w:rPr>
                <w:rFonts w:ascii="Arial" w:hAnsi="Arial" w:cs="Arial"/>
                <w:sz w:val="22"/>
                <w:szCs w:val="22"/>
              </w:rPr>
              <w:t xml:space="preserve">base the allocation on whoever passes the initial assessment (Stage </w:t>
            </w:r>
            <w:r w:rsidR="003F0419" w:rsidRPr="5FFC6078">
              <w:rPr>
                <w:rFonts w:ascii="Arial" w:hAnsi="Arial" w:cs="Arial"/>
                <w:sz w:val="22"/>
                <w:szCs w:val="22"/>
              </w:rPr>
              <w:t>1</w:t>
            </w:r>
            <w:r w:rsidR="00CC4D9A" w:rsidRPr="5FFC6078">
              <w:rPr>
                <w:rFonts w:ascii="Arial" w:hAnsi="Arial" w:cs="Arial"/>
                <w:sz w:val="22"/>
                <w:szCs w:val="22"/>
              </w:rPr>
              <w:t xml:space="preserve">) and returns a completed shared ownership application form. </w:t>
            </w:r>
          </w:p>
          <w:p w14:paraId="44B724C4" w14:textId="3412EDB9" w:rsidR="5FFC6078" w:rsidRDefault="5FFC6078" w:rsidP="00076F2F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08E75" w14:textId="713353C3" w:rsidR="00CC4D9A" w:rsidRDefault="76A3D6E3" w:rsidP="00CC4D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2.2 </w:t>
            </w:r>
            <w:r w:rsidR="00200840">
              <w:rPr>
                <w:rFonts w:ascii="Arial" w:hAnsi="Arial" w:cs="Arial"/>
                <w:sz w:val="22"/>
                <w:szCs w:val="22"/>
              </w:rPr>
              <w:t xml:space="preserve">An applicant will not be </w:t>
            </w:r>
            <w:r w:rsidR="00CC4D9A" w:rsidRPr="2D961306">
              <w:rPr>
                <w:rFonts w:ascii="Arial" w:hAnsi="Arial" w:cs="Arial"/>
                <w:sz w:val="22"/>
                <w:szCs w:val="22"/>
              </w:rPr>
              <w:t xml:space="preserve">allocated a property until </w:t>
            </w:r>
            <w:r w:rsidR="00694AD8">
              <w:rPr>
                <w:rFonts w:ascii="Arial" w:hAnsi="Arial" w:cs="Arial"/>
                <w:sz w:val="22"/>
                <w:szCs w:val="22"/>
              </w:rPr>
              <w:t xml:space="preserve">the Stage 1 </w:t>
            </w:r>
            <w:r w:rsidR="00CC4D9A" w:rsidRPr="2D961306">
              <w:rPr>
                <w:rFonts w:ascii="Arial" w:hAnsi="Arial" w:cs="Arial"/>
                <w:sz w:val="22"/>
                <w:szCs w:val="22"/>
              </w:rPr>
              <w:t>assessment</w:t>
            </w:r>
            <w:r w:rsidR="007809C4">
              <w:rPr>
                <w:rFonts w:ascii="Arial" w:hAnsi="Arial" w:cs="Arial"/>
                <w:sz w:val="22"/>
                <w:szCs w:val="22"/>
              </w:rPr>
              <w:t xml:space="preserve"> is complete. </w:t>
            </w:r>
          </w:p>
          <w:p w14:paraId="7BE18CE6" w14:textId="1124542A" w:rsidR="00D70A59" w:rsidRDefault="058E0550" w:rsidP="005E6BF2">
            <w:pPr>
              <w:shd w:val="clear" w:color="auto" w:fill="FFFFFF" w:themeFill="background1"/>
              <w:spacing w:before="300" w:after="30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2.3 </w:t>
            </w:r>
            <w:r w:rsidR="00CC4D9A" w:rsidRPr="6441759A">
              <w:rPr>
                <w:rFonts w:ascii="Arial" w:hAnsi="Arial" w:cs="Arial"/>
                <w:sz w:val="22"/>
                <w:szCs w:val="22"/>
              </w:rPr>
              <w:t>The initial financial assessment will be carried out by a</w:t>
            </w:r>
            <w:r w:rsidR="00074086" w:rsidRPr="644175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98F" w:rsidRPr="6441759A">
              <w:rPr>
                <w:rFonts w:ascii="Arial" w:hAnsi="Arial" w:cs="Arial"/>
                <w:sz w:val="22"/>
                <w:szCs w:val="22"/>
              </w:rPr>
              <w:t xml:space="preserve">qualified </w:t>
            </w:r>
            <w:r w:rsidR="00C8653D" w:rsidRPr="6441759A">
              <w:rPr>
                <w:rFonts w:ascii="Arial" w:hAnsi="Arial" w:cs="Arial"/>
                <w:sz w:val="22"/>
                <w:szCs w:val="22"/>
              </w:rPr>
              <w:t>M</w:t>
            </w:r>
            <w:r w:rsidR="00CC4D9A" w:rsidRPr="6441759A">
              <w:rPr>
                <w:rFonts w:ascii="Arial" w:hAnsi="Arial" w:cs="Arial"/>
                <w:sz w:val="22"/>
                <w:szCs w:val="22"/>
              </w:rPr>
              <w:t xml:space="preserve">ortgage </w:t>
            </w:r>
            <w:r w:rsidR="00C8653D" w:rsidRPr="6441759A">
              <w:rPr>
                <w:rFonts w:ascii="Arial" w:hAnsi="Arial" w:cs="Arial"/>
                <w:sz w:val="22"/>
                <w:szCs w:val="22"/>
              </w:rPr>
              <w:t>A</w:t>
            </w:r>
            <w:r w:rsidR="00CC4D9A" w:rsidRPr="6441759A">
              <w:rPr>
                <w:rFonts w:ascii="Arial" w:hAnsi="Arial" w:cs="Arial"/>
                <w:sz w:val="22"/>
                <w:szCs w:val="22"/>
              </w:rPr>
              <w:t>dvis</w:t>
            </w:r>
            <w:r w:rsidR="009F61E0" w:rsidRPr="6441759A">
              <w:rPr>
                <w:rFonts w:ascii="Arial" w:hAnsi="Arial" w:cs="Arial"/>
                <w:sz w:val="22"/>
                <w:szCs w:val="22"/>
              </w:rPr>
              <w:t>o</w:t>
            </w:r>
            <w:r w:rsidR="00CC4D9A" w:rsidRPr="6441759A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427D11D3" w:rsidRPr="6441759A">
              <w:rPr>
                <w:rFonts w:ascii="Arial" w:hAnsi="Arial" w:cs="Arial"/>
                <w:sz w:val="22"/>
                <w:szCs w:val="22"/>
              </w:rPr>
              <w:t>from our preferred panel</w:t>
            </w:r>
            <w:r w:rsidR="008B4095" w:rsidRPr="6441759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200840" w:rsidRPr="6441759A">
              <w:rPr>
                <w:rFonts w:ascii="Arial" w:hAnsi="Arial" w:cs="Arial"/>
                <w:sz w:val="22"/>
                <w:szCs w:val="22"/>
              </w:rPr>
              <w:t xml:space="preserve">The applicant is responsible for contacting </w:t>
            </w:r>
            <w:r w:rsidR="00154246" w:rsidRPr="6441759A">
              <w:rPr>
                <w:rFonts w:ascii="Arial" w:hAnsi="Arial" w:cs="Arial"/>
                <w:sz w:val="22"/>
                <w:szCs w:val="22"/>
              </w:rPr>
              <w:t>a</w:t>
            </w:r>
            <w:r w:rsidR="00200840" w:rsidRPr="644175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53D" w:rsidRPr="6441759A">
              <w:rPr>
                <w:rFonts w:ascii="Arial" w:hAnsi="Arial" w:cs="Arial"/>
                <w:sz w:val="22"/>
                <w:szCs w:val="22"/>
              </w:rPr>
              <w:t>M</w:t>
            </w:r>
            <w:r w:rsidR="000B212E" w:rsidRPr="6441759A">
              <w:rPr>
                <w:rFonts w:ascii="Arial" w:hAnsi="Arial" w:cs="Arial"/>
                <w:sz w:val="22"/>
                <w:szCs w:val="22"/>
              </w:rPr>
              <w:t xml:space="preserve">ortgage </w:t>
            </w:r>
            <w:r w:rsidR="00C8653D" w:rsidRPr="6441759A">
              <w:rPr>
                <w:rFonts w:ascii="Arial" w:hAnsi="Arial" w:cs="Arial"/>
                <w:sz w:val="22"/>
                <w:szCs w:val="22"/>
              </w:rPr>
              <w:t>A</w:t>
            </w:r>
            <w:r w:rsidR="000B212E" w:rsidRPr="6441759A">
              <w:rPr>
                <w:rFonts w:ascii="Arial" w:hAnsi="Arial" w:cs="Arial"/>
                <w:sz w:val="22"/>
                <w:szCs w:val="22"/>
              </w:rPr>
              <w:t>dvisor</w:t>
            </w:r>
            <w:r w:rsidR="005E733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0071B22" w14:textId="5CA0F5CC" w:rsidR="00154246" w:rsidRDefault="06215798" w:rsidP="005E6BF2">
            <w:pPr>
              <w:shd w:val="clear" w:color="auto" w:fill="FFFFFF" w:themeFill="background1"/>
              <w:spacing w:before="300" w:after="30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2.4 </w:t>
            </w:r>
            <w:r w:rsidR="2EFD3753" w:rsidRPr="6441759A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357461" w:rsidRPr="6441759A">
              <w:rPr>
                <w:rFonts w:ascii="Arial" w:hAnsi="Arial" w:cs="Arial"/>
                <w:sz w:val="22"/>
                <w:szCs w:val="22"/>
              </w:rPr>
              <w:t>will not</w:t>
            </w:r>
            <w:r w:rsidR="41C09E69" w:rsidRPr="6441759A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357461" w:rsidRPr="6441759A">
              <w:rPr>
                <w:rFonts w:ascii="Arial" w:hAnsi="Arial" w:cs="Arial"/>
                <w:sz w:val="22"/>
                <w:szCs w:val="22"/>
              </w:rPr>
              <w:t xml:space="preserve"> charge</w:t>
            </w:r>
            <w:r w:rsidR="64931BDE" w:rsidRPr="6441759A">
              <w:rPr>
                <w:rFonts w:ascii="Arial" w:hAnsi="Arial" w:cs="Arial"/>
                <w:sz w:val="22"/>
                <w:szCs w:val="22"/>
              </w:rPr>
              <w:t>d</w:t>
            </w:r>
            <w:r w:rsidR="00357461" w:rsidRPr="6441759A">
              <w:rPr>
                <w:rFonts w:ascii="Arial" w:hAnsi="Arial" w:cs="Arial"/>
                <w:sz w:val="22"/>
                <w:szCs w:val="22"/>
              </w:rPr>
              <w:t xml:space="preserve"> a fee to complete the Stage 1 assessment.</w:t>
            </w:r>
          </w:p>
          <w:p w14:paraId="1FF5E2EA" w14:textId="4E112BD2" w:rsidR="00CC4D9A" w:rsidRPr="008B4095" w:rsidRDefault="49586AFB" w:rsidP="008B40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2.5</w:t>
            </w:r>
            <w:r w:rsidRPr="4F1617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41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 xml:space="preserve">Stage </w:t>
            </w:r>
            <w:r w:rsidR="003F0419">
              <w:rPr>
                <w:rFonts w:ascii="Arial" w:hAnsi="Arial" w:cs="Arial"/>
                <w:sz w:val="22"/>
                <w:szCs w:val="22"/>
              </w:rPr>
              <w:t>1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 xml:space="preserve"> form should be completed by the </w:t>
            </w:r>
            <w:r w:rsidR="00E93105">
              <w:rPr>
                <w:rFonts w:ascii="Arial" w:hAnsi="Arial" w:cs="Arial"/>
                <w:sz w:val="22"/>
                <w:szCs w:val="22"/>
              </w:rPr>
              <w:t>M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 xml:space="preserve">ortgage </w:t>
            </w:r>
            <w:r w:rsidR="00E93105">
              <w:rPr>
                <w:rFonts w:ascii="Arial" w:hAnsi="Arial" w:cs="Arial"/>
                <w:sz w:val="22"/>
                <w:szCs w:val="22"/>
              </w:rPr>
              <w:t>A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>dvis</w:t>
            </w:r>
            <w:r w:rsidR="009F61E0">
              <w:rPr>
                <w:rFonts w:ascii="Arial" w:hAnsi="Arial" w:cs="Arial"/>
                <w:sz w:val="22"/>
                <w:szCs w:val="22"/>
              </w:rPr>
              <w:t>o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 xml:space="preserve">r, along with a West Kent application form which can be found on our website </w:t>
            </w:r>
            <w:hyperlink r:id="rId11">
              <w:r w:rsidR="00CC4D9A" w:rsidRPr="62E31C9F">
                <w:rPr>
                  <w:rStyle w:val="Hyperlink"/>
                  <w:rFonts w:ascii="Arial" w:hAnsi="Arial" w:cs="Arial"/>
                  <w:sz w:val="22"/>
                  <w:szCs w:val="22"/>
                </w:rPr>
                <w:t>SO application form</w:t>
              </w:r>
            </w:hyperlink>
            <w:r w:rsidR="005136FA">
              <w:rPr>
                <w:rStyle w:val="Hyperlink"/>
                <w:rFonts w:ascii="Arial" w:hAnsi="Arial" w:cs="Arial"/>
                <w:sz w:val="22"/>
                <w:szCs w:val="22"/>
              </w:rPr>
              <w:t>.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0EFEA1" w14:textId="638FC01E" w:rsidR="00CC4D9A" w:rsidRPr="007B759D" w:rsidRDefault="325E360E" w:rsidP="007B759D">
            <w:pPr>
              <w:shd w:val="clear" w:color="auto" w:fill="FFFFFF" w:themeFill="background1"/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2.6 </w:t>
            </w:r>
            <w:r w:rsidR="00CC4D9A" w:rsidRPr="6441759A">
              <w:rPr>
                <w:rFonts w:ascii="Arial" w:hAnsi="Arial" w:cs="Arial"/>
                <w:sz w:val="22"/>
                <w:szCs w:val="22"/>
              </w:rPr>
              <w:t xml:space="preserve">All completed forms should be returned to sales@wkha.org.uk </w:t>
            </w:r>
            <w:r w:rsidR="00302276" w:rsidRPr="6441759A">
              <w:rPr>
                <w:rFonts w:ascii="Arial" w:hAnsi="Arial" w:cs="Arial"/>
                <w:sz w:val="22"/>
                <w:szCs w:val="22"/>
              </w:rPr>
              <w:t xml:space="preserve">and the first applicant to do so will be allocated their first choice of the available homes. </w:t>
            </w:r>
            <w:r w:rsidR="00375971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Homes will not be </w:t>
            </w:r>
            <w:r w:rsidR="006703B9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allocated until </w:t>
            </w:r>
            <w:r w:rsidR="0F702E5A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>Stage 1</w:t>
            </w:r>
            <w:r w:rsidR="006703B9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 has been completed. </w:t>
            </w:r>
          </w:p>
          <w:p w14:paraId="554B353D" w14:textId="7AD3852B" w:rsidR="00CC4D9A" w:rsidRDefault="32086E50" w:rsidP="00CC4D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>2.7</w:t>
            </w:r>
            <w:r w:rsidRPr="4F1617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D9A" w:rsidRPr="6441759A">
              <w:rPr>
                <w:rFonts w:ascii="Arial" w:hAnsi="Arial" w:cs="Arial"/>
                <w:sz w:val="22"/>
                <w:szCs w:val="22"/>
              </w:rPr>
              <w:t xml:space="preserve">We will then allocate available homes/home in order from the date/time we receive the completed passed initial financial assessment and completed application form.  </w:t>
            </w:r>
          </w:p>
          <w:p w14:paraId="15D36B6B" w14:textId="4FD0DD63" w:rsidR="6441759A" w:rsidRDefault="6441759A" w:rsidP="00076F2F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63B54" w14:textId="0F4D738A" w:rsidR="00CC4D9A" w:rsidRDefault="240320A5" w:rsidP="00CC4D9A">
            <w:pPr>
              <w:spacing w:after="75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F161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2.8 </w:t>
            </w:r>
            <w:r w:rsidR="00CC4D9A" w:rsidRPr="62E31C9F">
              <w:rPr>
                <w:rFonts w:ascii="Arial" w:hAnsi="Arial" w:cs="Arial"/>
                <w:sz w:val="22"/>
                <w:szCs w:val="22"/>
              </w:rPr>
              <w:t>This process applies for both off-plan sales and homes available to view where more than one applicant has applied.</w:t>
            </w:r>
          </w:p>
          <w:p w14:paraId="388FBF76" w14:textId="77777777" w:rsidR="00864071" w:rsidRDefault="00864071" w:rsidP="00CC4D9A">
            <w:pPr>
              <w:spacing w:after="75" w:line="240" w:lineRule="auto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E5EDB02" w14:textId="10235B67" w:rsidR="00CC4D9A" w:rsidRDefault="6EF66021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  <w:r w:rsidRPr="4F161716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2.9</w:t>
            </w: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C4D9A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For applicants that already own a home and wish to buy a new build property we will consider </w:t>
            </w:r>
            <w:r w:rsidR="003F0419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the</w:t>
            </w:r>
            <w:r w:rsidR="00CC4D9A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application on a case-by-case basis. It will be dependent on the status of the scheme and if we are taking off-plan reservations. </w:t>
            </w:r>
            <w:r w:rsidR="006F04DF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If the home is ready for </w:t>
            </w:r>
            <w:r w:rsidR="00F36C42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occupation,</w:t>
            </w:r>
            <w:r w:rsidR="006F04DF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F36C42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we will require a Memorandum of Sales and be nearing completion. </w:t>
            </w:r>
            <w:r w:rsidR="00936F4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If the related sale falls through West Kent have the right to withdraw</w:t>
            </w:r>
            <w:r w:rsidR="004A094B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the offer. </w:t>
            </w:r>
          </w:p>
          <w:p w14:paraId="5804BF3B" w14:textId="77777777" w:rsidR="00CC4D9A" w:rsidRDefault="00CC4D9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</w:p>
          <w:p w14:paraId="49291CAA" w14:textId="607AB458" w:rsidR="00CC4D9A" w:rsidRDefault="440EC58B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  <w:r w:rsidRPr="4F161716">
              <w:rPr>
                <w:rFonts w:ascii="Arial" w:eastAsia="Times New Roman" w:hAnsi="Arial" w:cs="Arial"/>
                <w:b/>
                <w:bCs/>
                <w:color w:val="0B0C0C"/>
                <w:sz w:val="22"/>
                <w:szCs w:val="22"/>
                <w:lang w:eastAsia="en-GB"/>
              </w:rPr>
              <w:t>2.10</w:t>
            </w:r>
            <w:r w:rsidRPr="4F161716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 </w:t>
            </w:r>
            <w:r w:rsidR="00CC4D9A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If there are more homes than applicants, we would still allocate based on first come, first serve but would ‘reserve’ the home for you and then move to Stage </w:t>
            </w:r>
            <w:r w:rsidR="00623831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>2</w:t>
            </w:r>
            <w:r w:rsidR="00CC4D9A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 – full assessment set out in our Affordability </w:t>
            </w:r>
            <w:r w:rsidR="00623831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>S</w:t>
            </w:r>
            <w:r w:rsidR="00A15EDF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tatement </w:t>
            </w:r>
            <w:r w:rsidR="5645A688" w:rsidRPr="6441759A"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  <w:t xml:space="preserve">which is also on our website. </w:t>
            </w:r>
          </w:p>
          <w:p w14:paraId="493D849E" w14:textId="77777777" w:rsidR="00CC4D9A" w:rsidRDefault="00CC4D9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</w:p>
          <w:p w14:paraId="58157997" w14:textId="0907B1FC" w:rsidR="00CC4D9A" w:rsidRDefault="003914AA" w:rsidP="00CC4D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41759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C4D9A" w:rsidRPr="6441759A">
              <w:rPr>
                <w:rFonts w:ascii="Arial" w:hAnsi="Arial" w:cs="Arial"/>
                <w:b/>
                <w:bCs/>
                <w:sz w:val="22"/>
                <w:szCs w:val="22"/>
              </w:rPr>
              <w:t>. Allocation of a resale property will be based on the following:</w:t>
            </w:r>
          </w:p>
          <w:p w14:paraId="415CDD08" w14:textId="2F80274C" w:rsidR="6441759A" w:rsidRDefault="6441759A" w:rsidP="00076F2F">
            <w:pPr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E667AD" w14:textId="45E89656" w:rsidR="00CC4D9A" w:rsidRDefault="0FB088F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F161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3.1</w:t>
            </w:r>
            <w:r w:rsidRPr="4F1617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C4D9A" w:rsidRPr="36583757">
              <w:rPr>
                <w:rFonts w:ascii="Arial" w:eastAsia="Arial" w:hAnsi="Arial" w:cs="Arial"/>
                <w:sz w:val="22"/>
                <w:szCs w:val="22"/>
              </w:rPr>
              <w:t xml:space="preserve">We will assess the first three applicants who contact us and complete and return: </w:t>
            </w:r>
          </w:p>
          <w:p w14:paraId="04243F2E" w14:textId="77777777" w:rsidR="00CC4D9A" w:rsidRDefault="00CC4D9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986754" w14:textId="77777777" w:rsidR="00CC4D9A" w:rsidRDefault="00CC4D9A" w:rsidP="00CC4D9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75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36583757">
              <w:rPr>
                <w:rFonts w:ascii="Arial" w:eastAsia="Arial" w:hAnsi="Arial" w:cs="Arial"/>
                <w:sz w:val="22"/>
                <w:szCs w:val="22"/>
              </w:rPr>
              <w:t xml:space="preserve">A completed application form </w:t>
            </w:r>
            <w:hyperlink r:id="rId12">
              <w:r w:rsidRPr="36583757">
                <w:rPr>
                  <w:rStyle w:val="Hyperlink"/>
                  <w:rFonts w:ascii="Arial" w:hAnsi="Arial" w:cs="Arial"/>
                  <w:sz w:val="22"/>
                  <w:szCs w:val="22"/>
                </w:rPr>
                <w:t>SO application form</w:t>
              </w:r>
            </w:hyperlink>
          </w:p>
          <w:p w14:paraId="5AC0F461" w14:textId="41BD4EF1" w:rsidR="00CC4D9A" w:rsidRDefault="00CC4D9A" w:rsidP="00CC4D9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2E31C9F">
              <w:rPr>
                <w:rFonts w:ascii="Arial" w:eastAsia="Arial" w:hAnsi="Arial" w:cs="Arial"/>
                <w:sz w:val="22"/>
                <w:szCs w:val="22"/>
              </w:rPr>
              <w:t>Return the Stage 1 financial assessment completed by a mortgage advis</w:t>
            </w:r>
            <w:r w:rsidR="0062383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62E31C9F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0B178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76C189D" w14:textId="77777777" w:rsidR="00CC4D9A" w:rsidRDefault="00CC4D9A" w:rsidP="00CC4D9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2E31C9F">
              <w:rPr>
                <w:rFonts w:ascii="Arial" w:eastAsia="Arial" w:hAnsi="Arial" w:cs="Arial"/>
                <w:sz w:val="22"/>
                <w:szCs w:val="22"/>
              </w:rPr>
              <w:t xml:space="preserve">Provide a copy of the Memorandum of Sale if you have a home to sell to confirm it is under offer (if applicable). </w:t>
            </w:r>
          </w:p>
          <w:p w14:paraId="48F8FDAD" w14:textId="77777777" w:rsidR="00CC4D9A" w:rsidRDefault="00CC4D9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28A9FF" w14:textId="118B55A7" w:rsidR="00CC4D9A" w:rsidRDefault="62CC03CC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F161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3.2</w:t>
            </w:r>
            <w:r w:rsidRPr="4F1617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C4D9A" w:rsidRPr="62E31C9F">
              <w:rPr>
                <w:rFonts w:ascii="Arial" w:eastAsia="Arial" w:hAnsi="Arial" w:cs="Arial"/>
                <w:sz w:val="22"/>
                <w:szCs w:val="22"/>
              </w:rPr>
              <w:t xml:space="preserve">All documents should be returned via email to sales@wkha.org.uk within 3 working days. We will then arrange a viewing with the seller, subject to the outcome of the Stage 1 financial assessment. </w:t>
            </w:r>
          </w:p>
          <w:p w14:paraId="1A0E4E71" w14:textId="77777777" w:rsidR="00CC4D9A" w:rsidRDefault="00CC4D9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E3FE5F" w14:textId="63EA0023" w:rsidR="00CC4D9A" w:rsidRPr="00673112" w:rsidRDefault="149195B4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4F161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3.3</w:t>
            </w:r>
            <w:r w:rsidRPr="4F16171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C4D9A" w:rsidRPr="62E31C9F">
              <w:rPr>
                <w:rFonts w:ascii="Arial" w:eastAsia="Arial" w:hAnsi="Arial" w:cs="Arial"/>
                <w:sz w:val="22"/>
                <w:szCs w:val="22"/>
              </w:rPr>
              <w:t xml:space="preserve">In exceptional circumstance applicants may be allowed to view before confirming affordability and where the nomination period is coming to an end. </w:t>
            </w:r>
          </w:p>
          <w:p w14:paraId="12A25AA1" w14:textId="4D623040" w:rsidR="00CC4D9A" w:rsidRPr="00673112" w:rsidRDefault="003914AA" w:rsidP="00CC4D9A">
            <w:pPr>
              <w:shd w:val="clear" w:color="auto" w:fill="FFFFFF" w:themeFill="background1"/>
              <w:spacing w:before="300" w:after="75" w:line="240" w:lineRule="auto"/>
              <w:jc w:val="both"/>
              <w:rPr>
                <w:rFonts w:ascii="Arial" w:eastAsia="Times New Roman" w:hAnsi="Arial" w:cs="Arial"/>
                <w:b/>
                <w:bCs/>
                <w:color w:val="0B0C0C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="00CC4D9A" w:rsidRPr="62E31C9F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. Military Personnel </w:t>
            </w:r>
          </w:p>
          <w:p w14:paraId="797B9D57" w14:textId="7799C3FD" w:rsidR="00CC4D9A" w:rsidRPr="00B10ABD" w:rsidRDefault="4BD344EB" w:rsidP="00CC4D9A">
            <w:pPr>
              <w:shd w:val="clear" w:color="auto" w:fill="FFFFFF" w:themeFill="background1"/>
              <w:spacing w:before="300" w:after="75" w:line="240" w:lineRule="auto"/>
              <w:jc w:val="bot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4F161716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4.1</w:t>
            </w: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C4D9A"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The ex</w:t>
            </w:r>
            <w:r w:rsidR="00CC4D9A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="00CC4D9A"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eption to</w:t>
            </w:r>
            <w:r w:rsidR="00CC4D9A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the first come, first serve policy for new build and resale homes, </w:t>
            </w:r>
            <w:r w:rsidR="00CC4D9A"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is for qualifying Armed Forces personnel and in certain rural locations and sites.  Such exceptions where there is an undersupply can be summarised as follows with more detail on each following.</w:t>
            </w:r>
          </w:p>
          <w:p w14:paraId="164FFE0E" w14:textId="77777777" w:rsidR="00CC4D9A" w:rsidRDefault="00CC4D9A" w:rsidP="00CC4D9A">
            <w:pPr>
              <w:shd w:val="clear" w:color="auto" w:fill="FFFFFF" w:themeFill="background1"/>
              <w:spacing w:after="75" w:line="240" w:lineRule="auto"/>
              <w:jc w:val="both"/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</w:p>
          <w:p w14:paraId="15D224D9" w14:textId="77777777" w:rsidR="00CC4D9A" w:rsidRPr="00B10ABD" w:rsidRDefault="00CC4D9A" w:rsidP="00CC4D9A">
            <w:pPr>
              <w:numPr>
                <w:ilvl w:val="0"/>
                <w:numId w:val="3"/>
              </w:numPr>
              <w:shd w:val="clear" w:color="auto" w:fill="FFFFFF" w:themeFill="background1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erving military personnel and former members of the British Armed Forces discharged in the last two years</w:t>
            </w:r>
          </w:p>
          <w:p w14:paraId="39DC506E" w14:textId="77777777" w:rsidR="00CC4D9A" w:rsidRDefault="00CC4D9A" w:rsidP="00CC4D9A">
            <w:pPr>
              <w:numPr>
                <w:ilvl w:val="0"/>
                <w:numId w:val="3"/>
              </w:numPr>
              <w:shd w:val="clear" w:color="auto" w:fill="FFFFFF" w:themeFill="background1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National Parks, Areas of Outstanding Natural Beauty and rural exception sites</w:t>
            </w:r>
          </w:p>
          <w:p w14:paraId="54065D42" w14:textId="77777777" w:rsidR="00CC4D9A" w:rsidRPr="002A690B" w:rsidRDefault="00CC4D9A" w:rsidP="00CC4D9A">
            <w:pPr>
              <w:shd w:val="clear" w:color="auto" w:fill="FFFFFF" w:themeFill="background1"/>
              <w:spacing w:after="75" w:line="240" w:lineRule="auto"/>
              <w:ind w:left="1020"/>
              <w:jc w:val="bot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33489E4" w14:textId="7DF2B4FF" w:rsidR="00CC4D9A" w:rsidRPr="00B10ABD" w:rsidRDefault="6D4B6B7E" w:rsidP="00CC4D9A">
            <w:pPr>
              <w:shd w:val="clear" w:color="auto" w:fill="FFFFFF" w:themeFill="background1"/>
              <w:spacing w:before="75" w:after="300" w:line="240" w:lineRule="auto"/>
              <w:jc w:val="bot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4F161716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4.2</w:t>
            </w: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CC4D9A"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Ministry of Defence personnel will be prioritised for Shared Ownership schemes where:</w:t>
            </w:r>
          </w:p>
          <w:p w14:paraId="619AAC4B" w14:textId="77777777" w:rsidR="00CC4D9A" w:rsidRPr="00B10ABD" w:rsidRDefault="00CC4D9A" w:rsidP="00CC4D9A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They have completed their basic (phase 1) </w:t>
            </w:r>
            <w:proofErr w:type="gramStart"/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training</w:t>
            </w:r>
            <w:proofErr w:type="gramEnd"/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and they are one of the following:</w:t>
            </w:r>
          </w:p>
          <w:p w14:paraId="05D0A97E" w14:textId="77777777" w:rsidR="00CC4D9A" w:rsidRPr="00B10ABD" w:rsidRDefault="00CC4D9A" w:rsidP="00CC4D9A">
            <w:pPr>
              <w:numPr>
                <w:ilvl w:val="1"/>
                <w:numId w:val="2"/>
              </w:numPr>
              <w:shd w:val="clear" w:color="auto" w:fill="FFFFFF"/>
              <w:spacing w:after="75" w:line="240" w:lineRule="auto"/>
              <w:ind w:left="204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Regular service personnel (including Navy, Army and Air Force)</w:t>
            </w:r>
          </w:p>
          <w:p w14:paraId="3102FDFF" w14:textId="77777777" w:rsidR="00CC4D9A" w:rsidRPr="00B10ABD" w:rsidRDefault="00CC4D9A" w:rsidP="00CC4D9A">
            <w:pPr>
              <w:numPr>
                <w:ilvl w:val="1"/>
                <w:numId w:val="2"/>
              </w:numPr>
              <w:shd w:val="clear" w:color="auto" w:fill="FFFFFF"/>
              <w:spacing w:after="75" w:line="240" w:lineRule="auto"/>
              <w:ind w:left="204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Clinical staff (</w:t>
            </w:r>
            <w:proofErr w:type="gramStart"/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with the exception of</w:t>
            </w:r>
            <w:proofErr w:type="gramEnd"/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doctors and dentists)</w:t>
            </w:r>
          </w:p>
          <w:p w14:paraId="5AD6F474" w14:textId="77777777" w:rsidR="00CC4D9A" w:rsidRPr="00B10ABD" w:rsidRDefault="00CC4D9A" w:rsidP="00CC4D9A">
            <w:pPr>
              <w:numPr>
                <w:ilvl w:val="1"/>
                <w:numId w:val="2"/>
              </w:numPr>
              <w:shd w:val="clear" w:color="auto" w:fill="FFFFFF"/>
              <w:spacing w:after="75" w:line="240" w:lineRule="auto"/>
              <w:ind w:left="204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Ministry of Defence Police Officers</w:t>
            </w:r>
          </w:p>
          <w:p w14:paraId="036CF7A9" w14:textId="77777777" w:rsidR="00CC4D9A" w:rsidRPr="00B10ABD" w:rsidRDefault="00CC4D9A" w:rsidP="00CC4D9A">
            <w:pPr>
              <w:numPr>
                <w:ilvl w:val="1"/>
                <w:numId w:val="2"/>
              </w:numPr>
              <w:shd w:val="clear" w:color="auto" w:fill="FFFFFF"/>
              <w:spacing w:after="75" w:line="240" w:lineRule="auto"/>
              <w:ind w:left="204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Uniformed staff in the Defence Fire Service</w:t>
            </w:r>
          </w:p>
          <w:p w14:paraId="0665C8FE" w14:textId="77777777" w:rsidR="00CC4D9A" w:rsidRPr="00B10ABD" w:rsidRDefault="00CC4D9A" w:rsidP="00CC4D9A">
            <w:pPr>
              <w:shd w:val="clear" w:color="auto" w:fill="FFFFFF"/>
              <w:spacing w:after="75" w:line="240" w:lineRule="auto"/>
              <w:ind w:left="204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9DC6D67" w14:textId="77777777" w:rsidR="00CC4D9A" w:rsidRPr="00B10ABD" w:rsidRDefault="00CC4D9A" w:rsidP="00CC4D9A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They are ex-regular service personnel who have served in the Armed Forces for a minimum of six years, and can produce a Discharge Certificate (or similar documentation) as proof, where they apply within two years (24 months) of the date of discharge from service or</w:t>
            </w:r>
          </w:p>
          <w:p w14:paraId="685DB393" w14:textId="77777777" w:rsidR="00CC4D9A" w:rsidRPr="00B10ABD" w:rsidRDefault="00CC4D9A" w:rsidP="00CC4D9A">
            <w:p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DBF0037" w14:textId="77777777" w:rsidR="00CC4D9A" w:rsidRDefault="00CC4D9A" w:rsidP="00CC4D9A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0ABD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They are the surviving partners of regular service personnel who have died in service, where they apply within two years (24 months) of the date of being bereaved. </w:t>
            </w:r>
          </w:p>
          <w:p w14:paraId="53783ACF" w14:textId="77777777" w:rsidR="00CC4D9A" w:rsidRDefault="00CC4D9A" w:rsidP="00CC4D9A">
            <w:pPr>
              <w:pStyle w:val="ListParagrap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67508B7" w14:textId="77777777" w:rsidR="00CC4D9A" w:rsidRPr="002A690B" w:rsidRDefault="00CC4D9A" w:rsidP="00CC4D9A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A690B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 xml:space="preserve">Where Shared Ownership homes are being delivered in either a National Park, Area of Outstanding Natural Beauty or on a rural exception site then a prioritisation of applicants can be applied. In most cases this will be agreed by the local authority and set out in a Section 106 agreement or through other formal means. </w:t>
            </w:r>
          </w:p>
          <w:p w14:paraId="12DC3571" w14:textId="77777777" w:rsidR="00CC4D9A" w:rsidRDefault="00CC4D9A" w:rsidP="00CC4D9A">
            <w:pPr>
              <w:pStyle w:val="ListParagraph"/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</w:pPr>
          </w:p>
          <w:p w14:paraId="24FAE52D" w14:textId="77777777" w:rsidR="00CC4D9A" w:rsidRPr="002A690B" w:rsidRDefault="00CC4D9A" w:rsidP="00CC4D9A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A690B">
              <w:rPr>
                <w:rFonts w:ascii="Arial" w:hAnsi="Arial" w:cs="Arial"/>
                <w:color w:val="0B0C0C"/>
                <w:sz w:val="22"/>
                <w:szCs w:val="22"/>
                <w:shd w:val="clear" w:color="auto" w:fill="FFFFFF"/>
              </w:rPr>
              <w:t>The agreement is likely to stipulate that priority will be given to applicants with some form of connection to the local area. Additionally, the agreement will also likely include a cascade system to identify in order the next areas and / or criteria for the priority of applicants that will apply.</w:t>
            </w:r>
          </w:p>
          <w:p w14:paraId="4836C0DF" w14:textId="77777777" w:rsidR="00CC4D9A" w:rsidRDefault="00CC4D9A" w:rsidP="00CC4D9A">
            <w:pPr>
              <w:pStyle w:val="ListParagraph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791F676" w14:textId="77777777" w:rsidR="00CC4D9A" w:rsidRDefault="00CC4D9A" w:rsidP="00CC4D9A">
            <w:pPr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ind w:left="1020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For schemes/homes where there is a historic local lettings plan or other specified allocation criteria this will be clearly stated when homes are marketed for sale. </w:t>
            </w:r>
          </w:p>
          <w:p w14:paraId="35A909B3" w14:textId="77777777" w:rsidR="00CC4D9A" w:rsidRDefault="00CC4D9A" w:rsidP="00CC4D9A">
            <w:pPr>
              <w:rPr>
                <w:rFonts w:ascii="Arial" w:eastAsia="Times New Roman" w:hAnsi="Arial" w:cs="Arial"/>
                <w:color w:val="0B0C0C"/>
                <w:sz w:val="22"/>
                <w:szCs w:val="22"/>
                <w:lang w:eastAsia="en-GB"/>
              </w:rPr>
            </w:pPr>
          </w:p>
          <w:p w14:paraId="30E5E32F" w14:textId="7E0166BD" w:rsidR="00CC4D9A" w:rsidRDefault="00CC4D9A" w:rsidP="00CC4D9A">
            <w:pPr>
              <w:shd w:val="clear" w:color="auto" w:fill="FFFFFF" w:themeFill="background1"/>
              <w:spacing w:after="75" w:line="240" w:lineRule="auto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If you have any further questions, please email </w:t>
            </w:r>
            <w:hyperlink r:id="rId13" w:history="1">
              <w:r w:rsidRPr="00D94868">
                <w:rPr>
                  <w:rStyle w:val="Hyperlink"/>
                  <w:rFonts w:ascii="Arial" w:eastAsia="Times New Roman" w:hAnsi="Arial" w:cs="Arial"/>
                  <w:kern w:val="0"/>
                  <w:sz w:val="22"/>
                  <w:szCs w:val="22"/>
                  <w:lang w:eastAsia="en-GB"/>
                  <w14:ligatures w14:val="none"/>
                </w:rPr>
                <w:t>sales@wkha.org.uk</w:t>
              </w:r>
            </w:hyperlink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or call 01732 749 </w:t>
            </w:r>
            <w:r w:rsidR="00972B80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900</w:t>
            </w: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selecting Option 1 for new build homes and Option 3 for resale homes. </w:t>
            </w:r>
          </w:p>
          <w:p w14:paraId="425320A4" w14:textId="77777777" w:rsidR="00076F2F" w:rsidRDefault="00076F2F" w:rsidP="00CC4D9A">
            <w:pPr>
              <w:shd w:val="clear" w:color="auto" w:fill="FFFFFF" w:themeFill="background1"/>
              <w:spacing w:after="75" w:line="240" w:lineRule="auto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6AB0058" w14:textId="58A2224F" w:rsidR="00076F2F" w:rsidRDefault="00076F2F" w:rsidP="00CC4D9A">
            <w:pPr>
              <w:shd w:val="clear" w:color="auto" w:fill="FFFFFF" w:themeFill="background1"/>
              <w:spacing w:after="75" w:line="240" w:lineRule="auto"/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The list of panel </w:t>
            </w:r>
            <w:r w:rsidR="4EB5845C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ortgage </w:t>
            </w:r>
            <w:r w:rsidR="36C16435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dvisors </w:t>
            </w:r>
            <w:r w:rsidR="00EF3ADF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>is</w:t>
            </w:r>
            <w:r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 below</w:t>
            </w:r>
            <w:r w:rsidR="00643577">
              <w:rPr>
                <w:rFonts w:ascii="Arial" w:eastAsia="Times New Roman" w:hAnsi="Arial" w:cs="Arial"/>
                <w:color w:val="0B0C0C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</w:p>
          <w:p w14:paraId="20632B1E" w14:textId="5A2A2754" w:rsidR="00DB67CE" w:rsidRPr="00DB67CE" w:rsidRDefault="00DB67CE" w:rsidP="6441759A">
            <w:pPr>
              <w:spacing w:after="240" w:line="276" w:lineRule="auto"/>
              <w:jc w:val="both"/>
              <w:rPr>
                <w:rFonts w:ascii="Bierstadt Display" w:hAnsi="Bierstadt Display" w:cs="Arial"/>
                <w:color w:val="002060"/>
              </w:rPr>
            </w:pPr>
          </w:p>
          <w:p w14:paraId="3879C91D" w14:textId="77777777" w:rsidR="00076F2F" w:rsidRDefault="00076F2F" w:rsidP="6441759A">
            <w:pPr>
              <w:spacing w:after="24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F58495" w14:textId="77777777" w:rsidR="00076F2F" w:rsidRDefault="00076F2F" w:rsidP="6441759A">
            <w:pPr>
              <w:spacing w:after="24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506ABF" w14:textId="77777777" w:rsidR="00076F2F" w:rsidRDefault="00076F2F" w:rsidP="6441759A">
            <w:pPr>
              <w:spacing w:after="24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C1DEE9" w14:textId="2225D763" w:rsidR="4A47E8FC" w:rsidRDefault="4A47E8FC" w:rsidP="4A47E8FC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ACF1215" w14:textId="732D7BBE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AE382BF" w14:textId="2F121880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CC1B813" w14:textId="72EA8FCD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D71667B" w14:textId="62ADE3FC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0F0F698" w14:textId="3F3EBECD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48A1699" w14:textId="3AECC050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3296838" w14:textId="14A94A7C" w:rsidR="4F161716" w:rsidRDefault="4F161716" w:rsidP="4F161716">
            <w:pPr>
              <w:spacing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2115EF4" w14:textId="0EF7DF4D" w:rsidR="00DB67CE" w:rsidRPr="00076F2F" w:rsidRDefault="6007DEE6" w:rsidP="00A46F5D">
            <w:pPr>
              <w:spacing w:after="100" w:afterAutospacing="1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76F2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Panel Mortgage Advisors</w:t>
            </w:r>
          </w:p>
        </w:tc>
      </w:tr>
    </w:tbl>
    <w:p w14:paraId="7C31FEC3" w14:textId="77777777" w:rsidR="00076F2F" w:rsidRDefault="00076F2F" w:rsidP="008C23B0">
      <w:pPr>
        <w:jc w:val="both"/>
        <w:rPr>
          <w:rFonts w:ascii="Arial" w:hAnsi="Arial" w:cs="Arial"/>
        </w:rPr>
      </w:pPr>
    </w:p>
    <w:tbl>
      <w:tblPr>
        <w:tblW w:w="10637" w:type="dxa"/>
        <w:tblInd w:w="-714" w:type="dxa"/>
        <w:tblLook w:val="04A0" w:firstRow="1" w:lastRow="0" w:firstColumn="1" w:lastColumn="0" w:noHBand="0" w:noVBand="1"/>
      </w:tblPr>
      <w:tblGrid>
        <w:gridCol w:w="3167"/>
        <w:gridCol w:w="2592"/>
        <w:gridCol w:w="2176"/>
        <w:gridCol w:w="2702"/>
      </w:tblGrid>
      <w:tr w:rsidR="008C23B0" w14:paraId="3BC7A482" w14:textId="77777777" w:rsidTr="008C23B0">
        <w:trPr>
          <w:trHeight w:val="2570"/>
        </w:trPr>
        <w:tc>
          <w:tcPr>
            <w:tcW w:w="2765" w:type="dxa"/>
          </w:tcPr>
          <w:p w14:paraId="3AD71BC3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b/>
                <w:bCs/>
                <w:szCs w:val="22"/>
              </w:rPr>
              <w:t>Joanna Stickings</w:t>
            </w:r>
            <w:r w:rsidRPr="00076F2F">
              <w:rPr>
                <w:rFonts w:ascii="Arial" w:hAnsi="Arial" w:cs="Arial"/>
                <w:szCs w:val="22"/>
              </w:rPr>
              <w:t xml:space="preserve"> CeMAP </w:t>
            </w:r>
            <w:proofErr w:type="spellStart"/>
            <w:r w:rsidRPr="00076F2F">
              <w:rPr>
                <w:rFonts w:ascii="Arial" w:hAnsi="Arial" w:cs="Arial"/>
                <w:szCs w:val="22"/>
              </w:rPr>
              <w:t>DipFA</w:t>
            </w:r>
            <w:proofErr w:type="spellEnd"/>
          </w:p>
          <w:p w14:paraId="6950D16B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Principal | Mortgage and Protection Planning Consultant CERTITUDEWEALTH</w:t>
            </w:r>
          </w:p>
          <w:p w14:paraId="5C7EDDF2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Office: 01634 222579</w:t>
            </w:r>
          </w:p>
          <w:p w14:paraId="0A157239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Mobile: 07776 141442</w:t>
            </w:r>
          </w:p>
          <w:p w14:paraId="73CB97FF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 xml:space="preserve">E-mail: </w:t>
            </w:r>
            <w:hyperlink r:id="rId14" w:history="1">
              <w:r w:rsidRPr="00076F2F">
                <w:rPr>
                  <w:rStyle w:val="Hyperlink"/>
                  <w:rFonts w:ascii="Arial" w:hAnsi="Arial" w:cs="Arial"/>
                  <w:szCs w:val="22"/>
                </w:rPr>
                <w:t>joanna@certitudewealth.co.uk</w:t>
              </w:r>
            </w:hyperlink>
          </w:p>
          <w:p w14:paraId="649300AE" w14:textId="77777777" w:rsidR="008C23B0" w:rsidRPr="00076F2F" w:rsidRDefault="008C23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8DF48A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b/>
                <w:bCs/>
                <w:szCs w:val="22"/>
              </w:rPr>
              <w:t>Lisa Ingram</w:t>
            </w:r>
            <w:r w:rsidRPr="00076F2F">
              <w:rPr>
                <w:rFonts w:ascii="Arial" w:hAnsi="Arial" w:cs="Arial"/>
                <w:szCs w:val="22"/>
              </w:rPr>
              <w:t xml:space="preserve"> CeMAP</w:t>
            </w:r>
          </w:p>
          <w:p w14:paraId="3EEB5076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 xml:space="preserve">Trinity Finance </w:t>
            </w:r>
          </w:p>
          <w:p w14:paraId="647AA24C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Office: 01322 907000</w:t>
            </w:r>
          </w:p>
          <w:p w14:paraId="4FB118DF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Mobile: 07736 584146</w:t>
            </w:r>
          </w:p>
          <w:p w14:paraId="581405FE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 xml:space="preserve">Email: </w:t>
            </w:r>
            <w:hyperlink r:id="rId15" w:history="1">
              <w:r w:rsidRPr="00076F2F">
                <w:rPr>
                  <w:rStyle w:val="Hyperlink"/>
                  <w:rFonts w:ascii="Arial" w:hAnsi="Arial" w:cs="Arial"/>
                  <w:szCs w:val="22"/>
                </w:rPr>
                <w:t>lisa@trinityfinance.co.uk</w:t>
              </w:r>
            </w:hyperlink>
          </w:p>
          <w:p w14:paraId="1336B918" w14:textId="77777777" w:rsidR="008C23B0" w:rsidRPr="00076F2F" w:rsidRDefault="008C23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35677CB3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b/>
                <w:bCs/>
                <w:szCs w:val="22"/>
              </w:rPr>
              <w:t>Della Goff</w:t>
            </w:r>
            <w:r w:rsidRPr="00076F2F">
              <w:rPr>
                <w:rFonts w:ascii="Arial" w:hAnsi="Arial" w:cs="Arial"/>
                <w:szCs w:val="22"/>
              </w:rPr>
              <w:t xml:space="preserve"> MAQ</w:t>
            </w:r>
          </w:p>
          <w:p w14:paraId="5E27B498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 xml:space="preserve">Independent Financial Services Limited </w:t>
            </w:r>
          </w:p>
          <w:p w14:paraId="344815B1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4 Frampton Road, Hythe, Kent, CT21 6JP</w:t>
            </w:r>
          </w:p>
          <w:p w14:paraId="4C750569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Telephone: 01303 267864</w:t>
            </w:r>
          </w:p>
          <w:p w14:paraId="405D6C61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>Mobile: 07896919039</w:t>
            </w:r>
          </w:p>
          <w:p w14:paraId="5B1399E8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 xml:space="preserve">Email: </w:t>
            </w:r>
            <w:hyperlink r:id="rId16" w:history="1">
              <w:r w:rsidRPr="00076F2F">
                <w:rPr>
                  <w:rStyle w:val="Hyperlink"/>
                  <w:rFonts w:ascii="Arial" w:hAnsi="Arial" w:cs="Arial"/>
                  <w:szCs w:val="22"/>
                </w:rPr>
                <w:t>della@gladeifs.com</w:t>
              </w:r>
            </w:hyperlink>
            <w:r w:rsidRPr="00076F2F">
              <w:rPr>
                <w:rFonts w:ascii="Arial" w:hAnsi="Arial" w:cs="Arial"/>
                <w:szCs w:val="22"/>
              </w:rPr>
              <w:t xml:space="preserve"> </w:t>
            </w:r>
          </w:p>
          <w:p w14:paraId="1A043CDD" w14:textId="77777777" w:rsidR="008C23B0" w:rsidRPr="00076F2F" w:rsidRDefault="008C23B0">
            <w:pPr>
              <w:pStyle w:val="PlainText"/>
              <w:rPr>
                <w:rFonts w:ascii="Arial" w:hAnsi="Arial" w:cs="Arial"/>
                <w:szCs w:val="22"/>
              </w:rPr>
            </w:pPr>
            <w:r w:rsidRPr="00076F2F">
              <w:rPr>
                <w:rFonts w:ascii="Arial" w:hAnsi="Arial" w:cs="Arial"/>
                <w:szCs w:val="22"/>
              </w:rPr>
              <w:t xml:space="preserve">Website: </w:t>
            </w:r>
            <w:hyperlink r:id="rId17" w:history="1">
              <w:r w:rsidRPr="00076F2F">
                <w:rPr>
                  <w:rStyle w:val="Hyperlink"/>
                  <w:rFonts w:ascii="Arial" w:hAnsi="Arial" w:cs="Arial"/>
                  <w:szCs w:val="22"/>
                </w:rPr>
                <w:t>www.gladeifs.com</w:t>
              </w:r>
            </w:hyperlink>
            <w:r w:rsidRPr="00076F2F">
              <w:rPr>
                <w:rFonts w:ascii="Arial" w:hAnsi="Arial" w:cs="Arial"/>
                <w:szCs w:val="22"/>
              </w:rPr>
              <w:t xml:space="preserve"> </w:t>
            </w:r>
          </w:p>
          <w:p w14:paraId="2F9FAD1F" w14:textId="77777777" w:rsidR="008C23B0" w:rsidRPr="00076F2F" w:rsidRDefault="008C23B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68" w:type="dxa"/>
          </w:tcPr>
          <w:p w14:paraId="47D549C4" w14:textId="77777777" w:rsidR="00AD160B" w:rsidRDefault="008C23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6F2F">
              <w:rPr>
                <w:rFonts w:ascii="Arial" w:hAnsi="Arial" w:cs="Arial"/>
                <w:b/>
                <w:bCs/>
                <w:sz w:val="22"/>
                <w:szCs w:val="22"/>
              </w:rPr>
              <w:t>The Mortgage People</w:t>
            </w:r>
          </w:p>
          <w:p w14:paraId="63802D90" w14:textId="51586987" w:rsidR="008C23B0" w:rsidRPr="00AD160B" w:rsidRDefault="008C23B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t>1-2 Grafton Court,</w:t>
            </w: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br/>
              <w:t>Kettering Parkway,</w:t>
            </w: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br/>
              <w:t>Kettering Venture Park,</w:t>
            </w: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br/>
              <w:t>Kettering,</w:t>
            </w: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br/>
              <w:t>Northampton</w:t>
            </w: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br/>
              <w:t>NN15 6XR</w:t>
            </w:r>
          </w:p>
          <w:p w14:paraId="4760E1FA" w14:textId="77777777" w:rsidR="008C23B0" w:rsidRPr="00076F2F" w:rsidRDefault="008C23B0">
            <w:pPr>
              <w:rPr>
                <w:rFonts w:ascii="Arial" w:eastAsia="DengXian" w:hAnsi="Arial" w:cs="Arial"/>
                <w:sz w:val="22"/>
                <w:szCs w:val="22"/>
              </w:rPr>
            </w:pPr>
            <w:r w:rsidRPr="00076F2F">
              <w:rPr>
                <w:rFonts w:ascii="Arial" w:eastAsia="DengXian" w:hAnsi="Arial" w:cs="Arial"/>
                <w:sz w:val="22"/>
                <w:szCs w:val="22"/>
              </w:rPr>
              <w:t xml:space="preserve">Tel: </w:t>
            </w:r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t>0800 4880 814</w:t>
            </w:r>
          </w:p>
          <w:p w14:paraId="6ACA068A" w14:textId="77777777" w:rsidR="008C23B0" w:rsidRPr="00076F2F" w:rsidRDefault="008C23B0">
            <w:pPr>
              <w:rPr>
                <w:rFonts w:ascii="Arial" w:eastAsia="DengXian" w:hAnsi="Arial" w:cs="Arial"/>
                <w:sz w:val="22"/>
                <w:szCs w:val="22"/>
              </w:rPr>
            </w:pPr>
            <w:r w:rsidRPr="00076F2F">
              <w:rPr>
                <w:rFonts w:ascii="Arial" w:eastAsia="DengXian" w:hAnsi="Arial" w:cs="Arial"/>
                <w:sz w:val="22"/>
                <w:szCs w:val="22"/>
              </w:rPr>
              <w:t xml:space="preserve">Email: </w:t>
            </w:r>
            <w:hyperlink r:id="rId18" w:history="1">
              <w:r w:rsidRPr="00643577">
                <w:rPr>
                  <w:rStyle w:val="Hyperlink"/>
                  <w:rFonts w:ascii="Arial" w:hAnsi="Arial" w:cs="Arial"/>
                  <w:sz w:val="19"/>
                  <w:szCs w:val="19"/>
                </w:rPr>
                <w:t>chirpy@tmpmortgages.co.uk</w:t>
              </w:r>
            </w:hyperlink>
            <w:r w:rsidRPr="00076F2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14:paraId="6369CA5A" w14:textId="77777777" w:rsidR="008C23B0" w:rsidRPr="00076F2F" w:rsidRDefault="008C23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76F2F">
              <w:rPr>
                <w:rFonts w:ascii="Arial" w:hAnsi="Arial" w:cs="Arial"/>
                <w:sz w:val="22"/>
                <w:szCs w:val="22"/>
              </w:rPr>
              <w:t>Website:</w:t>
            </w:r>
            <w:r w:rsidRPr="00076F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76F2F">
              <w:rPr>
                <w:rFonts w:ascii="Arial" w:hAnsi="Arial" w:cs="Arial"/>
                <w:sz w:val="22"/>
                <w:szCs w:val="22"/>
              </w:rPr>
              <w:t xml:space="preserve">www. tmpmortgages.co.uk  </w:t>
            </w:r>
          </w:p>
          <w:p w14:paraId="6C84C006" w14:textId="77777777" w:rsidR="008C23B0" w:rsidRPr="00076F2F" w:rsidRDefault="008C23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6A08906" w14:textId="7D8468D0" w:rsidR="00DB67CE" w:rsidRPr="00DB67CE" w:rsidRDefault="00DB67CE" w:rsidP="00DB67CE">
      <w:pPr>
        <w:tabs>
          <w:tab w:val="left" w:pos="1500"/>
        </w:tabs>
        <w:rPr>
          <w:rFonts w:ascii="Bierstadt Display" w:hAnsi="Bierstadt Display"/>
        </w:rPr>
      </w:pPr>
    </w:p>
    <w:p w14:paraId="5E92F643" w14:textId="7ED64403" w:rsidR="00DB67CE" w:rsidRPr="00B20164" w:rsidRDefault="00DB67CE" w:rsidP="00B20164">
      <w:pPr>
        <w:rPr>
          <w:rFonts w:ascii="Bierstadt Display" w:hAnsi="Bierstadt Display"/>
        </w:rPr>
      </w:pPr>
    </w:p>
    <w:sectPr w:rsidR="00DB67CE" w:rsidRPr="00B20164" w:rsidSect="00DB67C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AC9B" w14:textId="77777777" w:rsidR="00224B40" w:rsidRDefault="00224B40" w:rsidP="00DB67CE">
      <w:pPr>
        <w:spacing w:after="0" w:line="240" w:lineRule="auto"/>
      </w:pPr>
      <w:r>
        <w:separator/>
      </w:r>
    </w:p>
  </w:endnote>
  <w:endnote w:type="continuationSeparator" w:id="0">
    <w:p w14:paraId="4ECEEF78" w14:textId="77777777" w:rsidR="00224B40" w:rsidRDefault="00224B40" w:rsidP="00DB67CE">
      <w:pPr>
        <w:spacing w:after="0" w:line="240" w:lineRule="auto"/>
      </w:pPr>
      <w:r>
        <w:continuationSeparator/>
      </w:r>
    </w:p>
  </w:endnote>
  <w:endnote w:type="continuationNotice" w:id="1">
    <w:p w14:paraId="7EE472A0" w14:textId="77777777" w:rsidR="00224B40" w:rsidRDefault="00224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E58F" w14:textId="4B006553" w:rsidR="00DB67CE" w:rsidRPr="00DB67CE" w:rsidRDefault="00DB67CE" w:rsidP="00DB67CE">
    <w:pPr>
      <w:pStyle w:val="Footer"/>
      <w:rPr>
        <w:rFonts w:ascii="Bierstadt Display" w:hAnsi="Bierstadt Display"/>
        <w:sz w:val="22"/>
        <w:szCs w:val="22"/>
      </w:rPr>
    </w:pPr>
    <w:r w:rsidRPr="00DB67CE">
      <w:rPr>
        <w:rFonts w:ascii="Bierstadt Display" w:hAnsi="Bierstadt Display"/>
        <w:sz w:val="22"/>
        <w:szCs w:val="22"/>
      </w:rPr>
      <w:t xml:space="preserve">Version </w:t>
    </w:r>
    <w:r>
      <w:rPr>
        <w:rFonts w:ascii="Bierstadt Display" w:hAnsi="Bierstadt Display"/>
        <w:sz w:val="22"/>
        <w:szCs w:val="22"/>
      </w:rPr>
      <w:t>1</w:t>
    </w:r>
    <w:r w:rsidRPr="00DB67CE">
      <w:rPr>
        <w:rFonts w:ascii="Bierstadt Display" w:hAnsi="Bierstadt Display"/>
        <w:sz w:val="22"/>
        <w:szCs w:val="22"/>
      </w:rPr>
      <w:t xml:space="preserve"> </w:t>
    </w:r>
    <w:r>
      <w:rPr>
        <w:rFonts w:ascii="Bierstadt Display" w:hAnsi="Bierstadt Display"/>
        <w:sz w:val="22"/>
        <w:szCs w:val="22"/>
      </w:rPr>
      <w:t>–</w:t>
    </w:r>
    <w:r w:rsidRPr="00DB67CE">
      <w:rPr>
        <w:rFonts w:ascii="Bierstadt Display" w:hAnsi="Bierstadt Display"/>
        <w:sz w:val="22"/>
        <w:szCs w:val="22"/>
      </w:rPr>
      <w:t xml:space="preserve"> </w:t>
    </w:r>
    <w:r w:rsidR="00CC4D9A">
      <w:rPr>
        <w:rFonts w:ascii="Bierstadt Display" w:hAnsi="Bierstadt Display"/>
        <w:sz w:val="22"/>
        <w:szCs w:val="22"/>
      </w:rPr>
      <w:t>1 August 2024</w:t>
    </w:r>
  </w:p>
  <w:p w14:paraId="18DA2F34" w14:textId="2FB229C5" w:rsidR="00DB67CE" w:rsidRPr="00DB67CE" w:rsidRDefault="00DB67CE" w:rsidP="00DB67CE">
    <w:pPr>
      <w:pStyle w:val="Footer"/>
      <w:rPr>
        <w:rFonts w:ascii="Bierstadt Display" w:hAnsi="Bierstadt Display"/>
        <w:sz w:val="22"/>
        <w:szCs w:val="22"/>
      </w:rPr>
    </w:pPr>
    <w:r w:rsidRPr="00DB67CE">
      <w:rPr>
        <w:rFonts w:ascii="Bierstadt Display" w:hAnsi="Bierstadt Display"/>
        <w:sz w:val="22"/>
        <w:szCs w:val="22"/>
      </w:rPr>
      <w:t xml:space="preserve">Review Date </w:t>
    </w:r>
    <w:r>
      <w:rPr>
        <w:rFonts w:ascii="Bierstadt Display" w:hAnsi="Bierstadt Display"/>
        <w:sz w:val="22"/>
        <w:szCs w:val="22"/>
      </w:rPr>
      <w:t>–</w:t>
    </w:r>
    <w:r w:rsidRPr="00DB67CE">
      <w:rPr>
        <w:rFonts w:ascii="Bierstadt Display" w:hAnsi="Bierstadt Display"/>
        <w:sz w:val="22"/>
        <w:szCs w:val="22"/>
      </w:rPr>
      <w:t xml:space="preserve"> </w:t>
    </w:r>
    <w:r w:rsidR="00CC4D9A">
      <w:rPr>
        <w:rFonts w:ascii="Bierstadt Display" w:hAnsi="Bierstadt Display"/>
        <w:sz w:val="22"/>
        <w:szCs w:val="22"/>
      </w:rPr>
      <w:t xml:space="preserve">1 August 2027 or if regulatory changes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4FE7F" w14:textId="77777777" w:rsidR="00224B40" w:rsidRDefault="00224B40" w:rsidP="00DB67CE">
      <w:pPr>
        <w:spacing w:after="0" w:line="240" w:lineRule="auto"/>
      </w:pPr>
      <w:r>
        <w:separator/>
      </w:r>
    </w:p>
  </w:footnote>
  <w:footnote w:type="continuationSeparator" w:id="0">
    <w:p w14:paraId="765D194F" w14:textId="77777777" w:rsidR="00224B40" w:rsidRDefault="00224B40" w:rsidP="00DB67CE">
      <w:pPr>
        <w:spacing w:after="0" w:line="240" w:lineRule="auto"/>
      </w:pPr>
      <w:r>
        <w:continuationSeparator/>
      </w:r>
    </w:p>
  </w:footnote>
  <w:footnote w:type="continuationNotice" w:id="1">
    <w:p w14:paraId="73813A5B" w14:textId="77777777" w:rsidR="00224B40" w:rsidRDefault="00224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10B7" w14:textId="7DFA8945" w:rsidR="00DB67CE" w:rsidRDefault="5FFC6078" w:rsidP="00DB67CE">
    <w:pPr>
      <w:pStyle w:val="Header"/>
      <w:rPr>
        <w:rFonts w:ascii="Bierstadt Display" w:hAnsi="Bierstadt Display"/>
        <w:b/>
        <w:bCs/>
        <w:sz w:val="20"/>
        <w:szCs w:val="20"/>
      </w:rPr>
    </w:pPr>
    <w:r>
      <w:rPr>
        <w:rFonts w:ascii="Bierstadt Display" w:hAnsi="Bierstadt Display"/>
        <w:b/>
        <w:bCs/>
        <w:sz w:val="20"/>
        <w:szCs w:val="20"/>
      </w:rPr>
      <w:t xml:space="preserve">Home Ownership Team </w:t>
    </w:r>
  </w:p>
  <w:p w14:paraId="0E6E386A" w14:textId="77777777" w:rsidR="00DB67CE" w:rsidRPr="00DF3C25" w:rsidRDefault="00DB67CE" w:rsidP="00DB67CE">
    <w:pPr>
      <w:pStyle w:val="Header"/>
      <w:rPr>
        <w:b/>
        <w:bCs/>
        <w:sz w:val="20"/>
        <w:szCs w:val="20"/>
      </w:rPr>
    </w:pPr>
    <w:r w:rsidRPr="00DF3C25">
      <w:rPr>
        <w:rFonts w:ascii="Bierstadt Display" w:hAnsi="Bierstadt Display"/>
        <w:b/>
        <w:bCs/>
        <w:sz w:val="20"/>
        <w:szCs w:val="20"/>
      </w:rPr>
      <w:t>West Kent Housing Association</w:t>
    </w:r>
  </w:p>
  <w:p w14:paraId="7DD11FC2" w14:textId="77777777" w:rsidR="00DB67CE" w:rsidRDefault="00DB6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472"/>
    <w:multiLevelType w:val="multilevel"/>
    <w:tmpl w:val="134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630EF4"/>
    <w:multiLevelType w:val="hybridMultilevel"/>
    <w:tmpl w:val="13EC9212"/>
    <w:lvl w:ilvl="0" w:tplc="5ECA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3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D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E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CB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C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A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42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2366"/>
    <w:multiLevelType w:val="multilevel"/>
    <w:tmpl w:val="8A24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D31F83"/>
    <w:multiLevelType w:val="hybridMultilevel"/>
    <w:tmpl w:val="11649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222">
    <w:abstractNumId w:val="1"/>
  </w:num>
  <w:num w:numId="2" w16cid:durableId="424614644">
    <w:abstractNumId w:val="0"/>
  </w:num>
  <w:num w:numId="3" w16cid:durableId="5375312">
    <w:abstractNumId w:val="2"/>
  </w:num>
  <w:num w:numId="4" w16cid:durableId="143466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CE"/>
    <w:rsid w:val="00074086"/>
    <w:rsid w:val="00076F2F"/>
    <w:rsid w:val="000A53A7"/>
    <w:rsid w:val="000B178E"/>
    <w:rsid w:val="000B1E09"/>
    <w:rsid w:val="000B212E"/>
    <w:rsid w:val="000C72DD"/>
    <w:rsid w:val="00127291"/>
    <w:rsid w:val="00137062"/>
    <w:rsid w:val="00147347"/>
    <w:rsid w:val="00154246"/>
    <w:rsid w:val="00155F52"/>
    <w:rsid w:val="00183363"/>
    <w:rsid w:val="001D2128"/>
    <w:rsid w:val="00200840"/>
    <w:rsid w:val="0020655F"/>
    <w:rsid w:val="00223078"/>
    <w:rsid w:val="00224731"/>
    <w:rsid w:val="00224B40"/>
    <w:rsid w:val="00246684"/>
    <w:rsid w:val="002970B1"/>
    <w:rsid w:val="002A5A09"/>
    <w:rsid w:val="002C47CF"/>
    <w:rsid w:val="002D18C5"/>
    <w:rsid w:val="002F6374"/>
    <w:rsid w:val="00302276"/>
    <w:rsid w:val="00313973"/>
    <w:rsid w:val="003322D7"/>
    <w:rsid w:val="003433AA"/>
    <w:rsid w:val="00357461"/>
    <w:rsid w:val="00362CA2"/>
    <w:rsid w:val="00366479"/>
    <w:rsid w:val="00375971"/>
    <w:rsid w:val="003914AA"/>
    <w:rsid w:val="003B5920"/>
    <w:rsid w:val="003F0419"/>
    <w:rsid w:val="003F7E67"/>
    <w:rsid w:val="00426D1F"/>
    <w:rsid w:val="00446253"/>
    <w:rsid w:val="00461CB8"/>
    <w:rsid w:val="004A094B"/>
    <w:rsid w:val="004A613B"/>
    <w:rsid w:val="004E6AC7"/>
    <w:rsid w:val="005136FA"/>
    <w:rsid w:val="00590B65"/>
    <w:rsid w:val="005E6BF2"/>
    <w:rsid w:val="005E7332"/>
    <w:rsid w:val="005F4DB4"/>
    <w:rsid w:val="00623831"/>
    <w:rsid w:val="00643577"/>
    <w:rsid w:val="006703B9"/>
    <w:rsid w:val="0069232D"/>
    <w:rsid w:val="00694AD8"/>
    <w:rsid w:val="006E3D09"/>
    <w:rsid w:val="006F04DF"/>
    <w:rsid w:val="00714DFA"/>
    <w:rsid w:val="00735ED2"/>
    <w:rsid w:val="00753AA2"/>
    <w:rsid w:val="00771A8C"/>
    <w:rsid w:val="007809C4"/>
    <w:rsid w:val="00782C77"/>
    <w:rsid w:val="007B759D"/>
    <w:rsid w:val="00847496"/>
    <w:rsid w:val="00864071"/>
    <w:rsid w:val="0087380B"/>
    <w:rsid w:val="008B4095"/>
    <w:rsid w:val="008C23B0"/>
    <w:rsid w:val="008C6027"/>
    <w:rsid w:val="00931D07"/>
    <w:rsid w:val="00936F4D"/>
    <w:rsid w:val="00972B80"/>
    <w:rsid w:val="0099083D"/>
    <w:rsid w:val="009F61E0"/>
    <w:rsid w:val="00A15EDF"/>
    <w:rsid w:val="00A46F5D"/>
    <w:rsid w:val="00A54B2D"/>
    <w:rsid w:val="00A8467C"/>
    <w:rsid w:val="00AA771C"/>
    <w:rsid w:val="00AD160B"/>
    <w:rsid w:val="00B00A59"/>
    <w:rsid w:val="00B158F1"/>
    <w:rsid w:val="00B20164"/>
    <w:rsid w:val="00B3536F"/>
    <w:rsid w:val="00C24208"/>
    <w:rsid w:val="00C84689"/>
    <w:rsid w:val="00C8653D"/>
    <w:rsid w:val="00C94979"/>
    <w:rsid w:val="00CC4D9A"/>
    <w:rsid w:val="00D05683"/>
    <w:rsid w:val="00D4298F"/>
    <w:rsid w:val="00D541B9"/>
    <w:rsid w:val="00D70A59"/>
    <w:rsid w:val="00DB2D17"/>
    <w:rsid w:val="00DB4DCF"/>
    <w:rsid w:val="00DB67CE"/>
    <w:rsid w:val="00E01D9C"/>
    <w:rsid w:val="00E46634"/>
    <w:rsid w:val="00E60EDF"/>
    <w:rsid w:val="00E70617"/>
    <w:rsid w:val="00E93105"/>
    <w:rsid w:val="00EA06BA"/>
    <w:rsid w:val="00EA3D9D"/>
    <w:rsid w:val="00EB3C98"/>
    <w:rsid w:val="00ED6DEF"/>
    <w:rsid w:val="00EE105C"/>
    <w:rsid w:val="00EE7C0B"/>
    <w:rsid w:val="00EF3ADF"/>
    <w:rsid w:val="00F01A47"/>
    <w:rsid w:val="00F24F34"/>
    <w:rsid w:val="00F36C42"/>
    <w:rsid w:val="00F9395A"/>
    <w:rsid w:val="0474EB90"/>
    <w:rsid w:val="058E0550"/>
    <w:rsid w:val="06215798"/>
    <w:rsid w:val="0F702E5A"/>
    <w:rsid w:val="0FB088FA"/>
    <w:rsid w:val="149195B4"/>
    <w:rsid w:val="196254ED"/>
    <w:rsid w:val="19FDD5A7"/>
    <w:rsid w:val="1CB25265"/>
    <w:rsid w:val="1DCECF2D"/>
    <w:rsid w:val="20211FA0"/>
    <w:rsid w:val="2326E2B9"/>
    <w:rsid w:val="240320A5"/>
    <w:rsid w:val="25287996"/>
    <w:rsid w:val="29CAA253"/>
    <w:rsid w:val="2EFD3753"/>
    <w:rsid w:val="32086E50"/>
    <w:rsid w:val="325E360E"/>
    <w:rsid w:val="36C16435"/>
    <w:rsid w:val="39BBEC83"/>
    <w:rsid w:val="3A9D4D7B"/>
    <w:rsid w:val="41C09E69"/>
    <w:rsid w:val="427D11D3"/>
    <w:rsid w:val="440EC58B"/>
    <w:rsid w:val="49586AFB"/>
    <w:rsid w:val="4A47E8FC"/>
    <w:rsid w:val="4BD344EB"/>
    <w:rsid w:val="4EB5845C"/>
    <w:rsid w:val="4F161716"/>
    <w:rsid w:val="5645A688"/>
    <w:rsid w:val="5981BC78"/>
    <w:rsid w:val="5E40ECEB"/>
    <w:rsid w:val="5FFC6078"/>
    <w:rsid w:val="6007DEE6"/>
    <w:rsid w:val="62CC03CC"/>
    <w:rsid w:val="631A4946"/>
    <w:rsid w:val="6441759A"/>
    <w:rsid w:val="64931BDE"/>
    <w:rsid w:val="68754C96"/>
    <w:rsid w:val="6A801FA5"/>
    <w:rsid w:val="6AC3D711"/>
    <w:rsid w:val="6D4B6B7E"/>
    <w:rsid w:val="6EF66021"/>
    <w:rsid w:val="6F10D9B8"/>
    <w:rsid w:val="7661338B"/>
    <w:rsid w:val="76A3D6E3"/>
    <w:rsid w:val="7A7BE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ED37B"/>
  <w15:chartTrackingRefBased/>
  <w15:docId w15:val="{812FE50A-9A28-4258-BBD9-D4CFA5B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7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67C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CE"/>
  </w:style>
  <w:style w:type="paragraph" w:styleId="Footer">
    <w:name w:val="footer"/>
    <w:basedOn w:val="Normal"/>
    <w:link w:val="FooterChar"/>
    <w:uiPriority w:val="99"/>
    <w:unhideWhenUsed/>
    <w:rsid w:val="00DB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CE"/>
  </w:style>
  <w:style w:type="character" w:styleId="Hyperlink">
    <w:name w:val="Hyperlink"/>
    <w:basedOn w:val="DefaultParagraphFont"/>
    <w:uiPriority w:val="99"/>
    <w:unhideWhenUsed/>
    <w:rsid w:val="00CC4D9A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0C72DD"/>
  </w:style>
  <w:style w:type="paragraph" w:styleId="PlainText">
    <w:name w:val="Plain Text"/>
    <w:basedOn w:val="Normal"/>
    <w:link w:val="PlainTextChar"/>
    <w:uiPriority w:val="99"/>
    <w:semiHidden/>
    <w:unhideWhenUsed/>
    <w:rsid w:val="008C23B0"/>
    <w:pPr>
      <w:spacing w:after="0" w:line="240" w:lineRule="auto"/>
    </w:pPr>
    <w:rPr>
      <w:rFonts w:ascii="Calibri" w:eastAsia="Calibri" w:hAnsi="Calibri" w:cs="Consolas"/>
      <w:kern w:val="0"/>
      <w:sz w:val="22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3B0"/>
    <w:rPr>
      <w:rFonts w:ascii="Calibri" w:eastAsia="Calibri" w:hAnsi="Calibri" w:cs="Consolas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les@wkha.org.uk" TargetMode="External"/><Relationship Id="rId18" Type="http://schemas.openxmlformats.org/officeDocument/2006/relationships/hyperlink" Target="mailto:chirpy@tmpmortgages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estkent.org/find-a-home/buy-a-home/shared-ownership-application-form" TargetMode="External"/><Relationship Id="rId17" Type="http://schemas.openxmlformats.org/officeDocument/2006/relationships/hyperlink" Target="http://www.gladeif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lla@gladeif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stkent.org/find-a-home/buy-a-home/shared-ownership-application-for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sa@trinityfinance.co.uk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anna@certitudewealth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B6C26AD6A82478BBE302A2F25F8D6" ma:contentTypeVersion="12" ma:contentTypeDescription="Create a new document." ma:contentTypeScope="" ma:versionID="1377ae3d763d95235ee716d9cddc828e">
  <xsd:schema xmlns:xsd="http://www.w3.org/2001/XMLSchema" xmlns:xs="http://www.w3.org/2001/XMLSchema" xmlns:p="http://schemas.microsoft.com/office/2006/metadata/properties" xmlns:ns2="5fc420bd-34a0-4171-939d-d029dc7224d7" xmlns:ns3="5b2ca715-e0d3-4bcd-821f-3500177beadf" targetNamespace="http://schemas.microsoft.com/office/2006/metadata/properties" ma:root="true" ma:fieldsID="cd8f57dae023467cb3b4ddeb2f84d11d" ns2:_="" ns3:_="">
    <xsd:import namespace="5fc420bd-34a0-4171-939d-d029dc7224d7"/>
    <xsd:import namespace="5b2ca715-e0d3-4bcd-821f-3500177be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420bd-34a0-4171-939d-d029dc72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a715-e0d3-4bcd-821f-3500177be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2ca715-e0d3-4bcd-821f-3500177bead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C567-2D7F-43E6-970F-EE8EF706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420bd-34a0-4171-939d-d029dc7224d7"/>
    <ds:schemaRef ds:uri="5b2ca715-e0d3-4bcd-821f-3500177be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972F7-22E9-420E-B61D-4B89659E0449}">
  <ds:schemaRefs>
    <ds:schemaRef ds:uri="5b2ca715-e0d3-4bcd-821f-3500177bead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5fc420bd-34a0-4171-939d-d029dc7224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7E3730-7270-4F7B-92C3-462152CDC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 King</dc:creator>
  <cp:keywords/>
  <dc:description/>
  <cp:lastModifiedBy>Sophie Palmer</cp:lastModifiedBy>
  <cp:revision>2</cp:revision>
  <cp:lastPrinted>2024-08-13T13:00:00Z</cp:lastPrinted>
  <dcterms:created xsi:type="dcterms:W3CDTF">2024-08-19T14:36:00Z</dcterms:created>
  <dcterms:modified xsi:type="dcterms:W3CDTF">2024-08-19T14:36:00Z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0x0101008C3B6C26AD6A82478BBE302A2F25F8D6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